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22B0A" w14:textId="77777777" w:rsidR="00E65C4D" w:rsidRDefault="00E65C4D" w:rsidP="00E65C4D">
      <w:pPr>
        <w:spacing w:line="480" w:lineRule="auto"/>
        <w:jc w:val="center"/>
        <w:rPr>
          <w:b/>
        </w:rPr>
      </w:pPr>
    </w:p>
    <w:p w14:paraId="436A0FA0" w14:textId="77777777" w:rsidR="00E65C4D" w:rsidRDefault="00E65C4D" w:rsidP="00E65C4D">
      <w:pPr>
        <w:spacing w:line="480" w:lineRule="auto"/>
        <w:jc w:val="center"/>
        <w:rPr>
          <w:b/>
        </w:rPr>
      </w:pPr>
    </w:p>
    <w:p w14:paraId="1B4F8086" w14:textId="3ADE2304" w:rsidR="00E65C4D" w:rsidRPr="007F6C94" w:rsidRDefault="00E65C4D" w:rsidP="00E65C4D">
      <w:pPr>
        <w:spacing w:line="480" w:lineRule="auto"/>
        <w:jc w:val="center"/>
      </w:pPr>
      <w:r w:rsidRPr="007F6C94">
        <w:t>The Rise of Risky Derivatives:</w:t>
      </w:r>
    </w:p>
    <w:p w14:paraId="54026334" w14:textId="77777777" w:rsidR="00E65C4D" w:rsidRDefault="00E65C4D" w:rsidP="00E65C4D">
      <w:pPr>
        <w:spacing w:line="480" w:lineRule="auto"/>
        <w:jc w:val="center"/>
      </w:pPr>
      <w:r w:rsidRPr="007F6C94">
        <w:t>Chief Risk Officers, CEOs, and Fund Managers</w:t>
      </w:r>
    </w:p>
    <w:p w14:paraId="7AA4A983" w14:textId="77777777" w:rsidR="00E65C4D" w:rsidRDefault="00E65C4D" w:rsidP="00E65C4D">
      <w:pPr>
        <w:spacing w:line="480" w:lineRule="auto"/>
        <w:jc w:val="center"/>
      </w:pPr>
    </w:p>
    <w:p w14:paraId="1A080ED0" w14:textId="77777777" w:rsidR="00E65C4D" w:rsidRDefault="00E65C4D" w:rsidP="00E65C4D">
      <w:pPr>
        <w:spacing w:line="480" w:lineRule="auto"/>
        <w:jc w:val="center"/>
      </w:pPr>
    </w:p>
    <w:p w14:paraId="422CFDBB" w14:textId="77777777" w:rsidR="00E65C4D" w:rsidRDefault="00E65C4D" w:rsidP="00E65C4D">
      <w:pPr>
        <w:spacing w:line="480" w:lineRule="auto"/>
      </w:pPr>
    </w:p>
    <w:p w14:paraId="530EC34D" w14:textId="77777777" w:rsidR="00E65C4D" w:rsidRDefault="00E65C4D" w:rsidP="00E65C4D">
      <w:pPr>
        <w:jc w:val="center"/>
      </w:pPr>
      <w:r>
        <w:t>Kim Pernell</w:t>
      </w:r>
    </w:p>
    <w:p w14:paraId="78674F0A" w14:textId="77777777" w:rsidR="00E65C4D" w:rsidRDefault="00E65C4D" w:rsidP="00E65C4D">
      <w:pPr>
        <w:jc w:val="center"/>
      </w:pPr>
      <w:r>
        <w:t>University of Toronto</w:t>
      </w:r>
    </w:p>
    <w:p w14:paraId="2E502C51" w14:textId="77777777" w:rsidR="00E65C4D" w:rsidRDefault="00E65C4D" w:rsidP="00E65C4D">
      <w:pPr>
        <w:jc w:val="center"/>
      </w:pPr>
    </w:p>
    <w:p w14:paraId="54C0F8AA" w14:textId="77777777" w:rsidR="00E65C4D" w:rsidRDefault="00E65C4D" w:rsidP="00E65C4D">
      <w:pPr>
        <w:jc w:val="center"/>
      </w:pPr>
      <w:r>
        <w:t>Jiwook Jung</w:t>
      </w:r>
    </w:p>
    <w:p w14:paraId="0A10786A" w14:textId="77777777" w:rsidR="00E65C4D" w:rsidRPr="00B466BD" w:rsidRDefault="00E65C4D" w:rsidP="00E65C4D">
      <w:pPr>
        <w:jc w:val="center"/>
      </w:pPr>
      <w:r>
        <w:t>University of Illinois at Urbana-Champaign</w:t>
      </w:r>
    </w:p>
    <w:p w14:paraId="34E82824" w14:textId="77777777" w:rsidR="00E65C4D" w:rsidRDefault="00E65C4D" w:rsidP="00E65C4D">
      <w:pPr>
        <w:jc w:val="center"/>
      </w:pPr>
    </w:p>
    <w:p w14:paraId="4958B84E" w14:textId="77777777" w:rsidR="00E65C4D" w:rsidRDefault="00E65C4D" w:rsidP="00E65C4D">
      <w:pPr>
        <w:jc w:val="center"/>
      </w:pPr>
      <w:r>
        <w:t>Frank Dobbin</w:t>
      </w:r>
    </w:p>
    <w:p w14:paraId="6BA37042" w14:textId="77777777" w:rsidR="00E65C4D" w:rsidRDefault="00E65C4D" w:rsidP="00E65C4D">
      <w:pPr>
        <w:jc w:val="center"/>
      </w:pPr>
      <w:r>
        <w:t>Harvard University</w:t>
      </w:r>
    </w:p>
    <w:p w14:paraId="781691B4" w14:textId="77777777" w:rsidR="00E65C4D" w:rsidRDefault="00E65C4D" w:rsidP="00E65C4D">
      <w:pPr>
        <w:jc w:val="center"/>
      </w:pPr>
    </w:p>
    <w:p w14:paraId="14E09ECE" w14:textId="77777777" w:rsidR="00E65C4D" w:rsidRDefault="00E65C4D" w:rsidP="00E65C4D">
      <w:pPr>
        <w:jc w:val="center"/>
      </w:pPr>
    </w:p>
    <w:p w14:paraId="0838F46B" w14:textId="77777777" w:rsidR="00E65C4D" w:rsidRDefault="00E65C4D" w:rsidP="00E65C4D">
      <w:pPr>
        <w:jc w:val="center"/>
      </w:pPr>
    </w:p>
    <w:p w14:paraId="0C056D76" w14:textId="77777777" w:rsidR="00E65C4D" w:rsidRDefault="00E65C4D" w:rsidP="00E65C4D">
      <w:pPr>
        <w:jc w:val="center"/>
      </w:pPr>
    </w:p>
    <w:p w14:paraId="4745115F" w14:textId="77777777" w:rsidR="00E65C4D" w:rsidRDefault="00E65C4D" w:rsidP="00E65C4D">
      <w:pPr>
        <w:jc w:val="center"/>
      </w:pPr>
    </w:p>
    <w:p w14:paraId="3FB84A9E" w14:textId="77777777" w:rsidR="00E65C4D" w:rsidRDefault="00E65C4D" w:rsidP="00E65C4D">
      <w:pPr>
        <w:jc w:val="center"/>
      </w:pPr>
    </w:p>
    <w:p w14:paraId="1C1378D3" w14:textId="77777777" w:rsidR="00E65C4D" w:rsidRDefault="00E65C4D" w:rsidP="00E65C4D">
      <w:pPr>
        <w:jc w:val="center"/>
      </w:pPr>
    </w:p>
    <w:p w14:paraId="320EFFEF" w14:textId="77777777" w:rsidR="00E65C4D" w:rsidRDefault="00E65C4D" w:rsidP="00E65C4D">
      <w:pPr>
        <w:jc w:val="center"/>
      </w:pPr>
    </w:p>
    <w:p w14:paraId="047D4008" w14:textId="77777777" w:rsidR="00E65C4D" w:rsidRDefault="00E65C4D" w:rsidP="00E65C4D">
      <w:pPr>
        <w:jc w:val="center"/>
      </w:pPr>
    </w:p>
    <w:p w14:paraId="540E1BF7" w14:textId="77777777" w:rsidR="00E65C4D" w:rsidRDefault="00E65C4D" w:rsidP="00E65C4D">
      <w:pPr>
        <w:jc w:val="center"/>
      </w:pPr>
    </w:p>
    <w:p w14:paraId="3C53C140" w14:textId="77777777" w:rsidR="00E65C4D" w:rsidRDefault="00E65C4D" w:rsidP="00E65C4D">
      <w:pPr>
        <w:jc w:val="center"/>
      </w:pPr>
    </w:p>
    <w:p w14:paraId="74298B04" w14:textId="77777777" w:rsidR="00E65C4D" w:rsidRDefault="00E65C4D" w:rsidP="00E65C4D">
      <w:pPr>
        <w:jc w:val="center"/>
      </w:pPr>
    </w:p>
    <w:p w14:paraId="78C6FF54" w14:textId="77777777" w:rsidR="00E65C4D" w:rsidRDefault="00E65C4D" w:rsidP="00E65C4D">
      <w:pPr>
        <w:jc w:val="center"/>
      </w:pPr>
    </w:p>
    <w:p w14:paraId="053E227E" w14:textId="77777777" w:rsidR="00E65C4D" w:rsidRDefault="00E65C4D" w:rsidP="00E65C4D">
      <w:pPr>
        <w:jc w:val="center"/>
      </w:pPr>
    </w:p>
    <w:p w14:paraId="40E1F9BC" w14:textId="77777777" w:rsidR="00E65C4D" w:rsidRDefault="00E65C4D" w:rsidP="00E65C4D">
      <w:pPr>
        <w:jc w:val="both"/>
      </w:pPr>
      <w:r w:rsidRPr="00E40784">
        <w:t xml:space="preserve">Keywords: </w:t>
      </w:r>
      <w:r w:rsidRPr="00D06B0E">
        <w:t xml:space="preserve">Organizations, Institutions, Economic Sociology, </w:t>
      </w:r>
      <w:proofErr w:type="gramStart"/>
      <w:r w:rsidRPr="00D06B0E">
        <w:t>Corporate</w:t>
      </w:r>
      <w:proofErr w:type="gramEnd"/>
      <w:r w:rsidRPr="00D06B0E">
        <w:t xml:space="preserve"> Governance</w:t>
      </w:r>
    </w:p>
    <w:p w14:paraId="38366DB9" w14:textId="77777777" w:rsidR="00E65C4D" w:rsidRDefault="00E65C4D" w:rsidP="00E65C4D">
      <w:pPr>
        <w:jc w:val="both"/>
      </w:pPr>
    </w:p>
    <w:p w14:paraId="1B1C368A" w14:textId="77777777" w:rsidR="00E65C4D" w:rsidRDefault="00E65C4D" w:rsidP="00E65C4D">
      <w:pPr>
        <w:jc w:val="both"/>
      </w:pPr>
      <w:r>
        <w:t xml:space="preserve">We thank Ronald Burt, Jack Gallagher, Adam Goldstein, Mitu Gulati, Barbara Kiviat, Carly Knight, Kimberly Krawiec, Rourke O’Brien, Eva Rosen, </w:t>
      </w:r>
      <w:proofErr w:type="gramStart"/>
      <w:r>
        <w:t>the FWF Working Group</w:t>
      </w:r>
      <w:proofErr w:type="gramEnd"/>
      <w:r>
        <w:t xml:space="preserve"> for comments on prior drafts. Kim Pernell and Frank Dobbin thank the Edmond J. Safra Center for Ethics at Harvard University for fellowship funding. </w:t>
      </w:r>
    </w:p>
    <w:p w14:paraId="246507ED" w14:textId="77777777" w:rsidR="00E65C4D" w:rsidRDefault="00E65C4D" w:rsidP="00E65C4D"/>
    <w:p w14:paraId="52EDE6FD" w14:textId="77777777" w:rsidR="00E65C4D" w:rsidRPr="00B13256" w:rsidRDefault="00E65C4D" w:rsidP="00E65C4D">
      <w:pPr>
        <w:rPr>
          <w:rFonts w:eastAsia="Times New Roman"/>
        </w:rPr>
      </w:pPr>
      <w:r w:rsidRPr="00B13256">
        <w:rPr>
          <w:rFonts w:eastAsia="Times New Roman"/>
        </w:rPr>
        <w:t>Corresponding Author:</w:t>
      </w:r>
    </w:p>
    <w:p w14:paraId="39262F40" w14:textId="77777777" w:rsidR="00347093" w:rsidRDefault="00E65C4D" w:rsidP="00E65C4D">
      <w:pPr>
        <w:rPr>
          <w:rFonts w:eastAsia="Times New Roman"/>
        </w:rPr>
        <w:sectPr w:rsidR="00347093" w:rsidSect="00347093">
          <w:footerReference w:type="even" r:id="rId9"/>
          <w:footerReference w:type="default" r:id="rId10"/>
          <w:endnotePr>
            <w:numFmt w:val="decimal"/>
          </w:endnotePr>
          <w:pgSz w:w="12240" w:h="15840"/>
          <w:pgMar w:top="1440" w:right="1440" w:bottom="1440" w:left="1440" w:header="720" w:footer="720" w:gutter="0"/>
          <w:cols w:space="720"/>
          <w:titlePg/>
        </w:sectPr>
      </w:pPr>
      <w:r>
        <w:rPr>
          <w:rFonts w:eastAsia="Times New Roman"/>
        </w:rPr>
        <w:t>Kim Pernell</w:t>
      </w:r>
      <w:r w:rsidRPr="00B13256">
        <w:rPr>
          <w:rFonts w:eastAsia="Times New Roman"/>
        </w:rPr>
        <w:t>,</w:t>
      </w:r>
      <w:r>
        <w:rPr>
          <w:rFonts w:eastAsia="Times New Roman"/>
        </w:rPr>
        <w:t xml:space="preserve"> University of Toronto,</w:t>
      </w:r>
      <w:r w:rsidRPr="00B13256">
        <w:rPr>
          <w:rFonts w:eastAsia="Times New Roman"/>
        </w:rPr>
        <w:t xml:space="preserve"> Department of Sociology,</w:t>
      </w:r>
      <w:r>
        <w:rPr>
          <w:rFonts w:eastAsia="Times New Roman"/>
        </w:rPr>
        <w:t xml:space="preserve"> 725 Spadina Ave, Toronto, ON, M5S 2J4</w:t>
      </w:r>
      <w:r w:rsidRPr="00B13256">
        <w:rPr>
          <w:rFonts w:eastAsia="Times New Roman"/>
        </w:rPr>
        <w:t xml:space="preserve">. Email: </w:t>
      </w:r>
      <w:r>
        <w:rPr>
          <w:rFonts w:eastAsia="Times New Roman"/>
        </w:rPr>
        <w:t>kim.pernell.gallagher@uoronto.ca</w:t>
      </w:r>
    </w:p>
    <w:p w14:paraId="419C1146" w14:textId="77777777" w:rsidR="00E65C4D" w:rsidRDefault="00E65C4D">
      <w:pPr>
        <w:rPr>
          <w:b/>
        </w:rPr>
      </w:pPr>
    </w:p>
    <w:p w14:paraId="0415AA5D" w14:textId="5A24674E" w:rsidR="003775F8" w:rsidRDefault="002A200B" w:rsidP="00ED023D">
      <w:pPr>
        <w:jc w:val="center"/>
      </w:pPr>
      <w:r w:rsidRPr="00053035">
        <w:rPr>
          <w:b/>
        </w:rPr>
        <w:t>ABSTRACT</w:t>
      </w:r>
    </w:p>
    <w:p w14:paraId="4C4CDD1E" w14:textId="50E5C724" w:rsidR="002A200B" w:rsidRPr="003A0925" w:rsidRDefault="0037650E" w:rsidP="001D2956">
      <w:pPr>
        <w:ind w:firstLine="720"/>
      </w:pPr>
      <w:r>
        <w:t>At turn of the century,</w:t>
      </w:r>
      <w:r w:rsidR="006816FB">
        <w:t xml:space="preserve"> </w:t>
      </w:r>
      <w:r>
        <w:t xml:space="preserve">regulators introduced policies </w:t>
      </w:r>
      <w:r w:rsidR="006816FB">
        <w:t xml:space="preserve">to </w:t>
      </w:r>
      <w:r w:rsidR="0096779D">
        <w:t xml:space="preserve">control </w:t>
      </w:r>
      <w:r w:rsidR="004D2AB3">
        <w:t>bank risk-taking</w:t>
      </w:r>
      <w:r w:rsidR="002A200B" w:rsidRPr="00D00F87">
        <w:t xml:space="preserve">. </w:t>
      </w:r>
      <w:r w:rsidR="002A200B" w:rsidRPr="001D6EBA">
        <w:t xml:space="preserve">Many banks </w:t>
      </w:r>
      <w:r w:rsidR="00733FC0">
        <w:t xml:space="preserve">appointed </w:t>
      </w:r>
      <w:r w:rsidR="002A200B" w:rsidRPr="001D6EBA">
        <w:t xml:space="preserve">chief risk officers </w:t>
      </w:r>
      <w:r w:rsidR="0055397B">
        <w:t>(CROs)</w:t>
      </w:r>
      <w:r w:rsidR="00733FC0">
        <w:t xml:space="preserve">, yet bank </w:t>
      </w:r>
      <w:r w:rsidR="00733FC0" w:rsidRPr="003F402B">
        <w:t>holdings of new</w:t>
      </w:r>
      <w:r w:rsidR="003F402B" w:rsidRPr="003F402B">
        <w:t>, complex</w:t>
      </w:r>
      <w:r w:rsidR="00733FC0" w:rsidRPr="003F402B">
        <w:t xml:space="preserve"> and untested fin</w:t>
      </w:r>
      <w:r w:rsidR="00733FC0">
        <w:t xml:space="preserve">ancial derivatives </w:t>
      </w:r>
      <w:r w:rsidR="0096779D">
        <w:t xml:space="preserve">subsequently </w:t>
      </w:r>
      <w:r w:rsidR="00733FC0">
        <w:t xml:space="preserve">soared. </w:t>
      </w:r>
      <w:r w:rsidR="006816FB">
        <w:t xml:space="preserve">Institutionalists suggest that </w:t>
      </w:r>
      <w:r w:rsidR="0055397B">
        <w:t xml:space="preserve">firms respond to regulations by appointing </w:t>
      </w:r>
      <w:r w:rsidR="00AB19F6">
        <w:t xml:space="preserve">compliance </w:t>
      </w:r>
      <w:r w:rsidR="0055397B">
        <w:t>experts</w:t>
      </w:r>
      <w:r w:rsidR="005C3B9E">
        <w:t>,</w:t>
      </w:r>
      <w:r w:rsidR="0055397B">
        <w:t xml:space="preserve"> </w:t>
      </w:r>
      <w:r w:rsidR="00576131">
        <w:t xml:space="preserve">who </w:t>
      </w:r>
      <w:r w:rsidR="005C3B9E" w:rsidRPr="00B2455C">
        <w:t xml:space="preserve">sometimes </w:t>
      </w:r>
      <w:r w:rsidR="00576131" w:rsidRPr="00B2455C">
        <w:t xml:space="preserve">exaggerate </w:t>
      </w:r>
      <w:r w:rsidR="00D16D29" w:rsidRPr="00B2455C">
        <w:t xml:space="preserve">legal </w:t>
      </w:r>
      <w:r w:rsidR="00733FC0" w:rsidRPr="00B2455C">
        <w:t>requirements</w:t>
      </w:r>
      <w:r w:rsidR="000B345D" w:rsidRPr="00B2455C">
        <w:t>.</w:t>
      </w:r>
      <w:r w:rsidR="005E2B56" w:rsidRPr="00B2455C">
        <w:t xml:space="preserve"> </w:t>
      </w:r>
      <w:r w:rsidR="00DB089A" w:rsidRPr="00B2455C">
        <w:t xml:space="preserve">We propose a more </w:t>
      </w:r>
      <w:r w:rsidR="0003579B" w:rsidRPr="00B2455C">
        <w:t xml:space="preserve">nuanced </w:t>
      </w:r>
      <w:r w:rsidR="00DB089A" w:rsidRPr="00B2455C">
        <w:t xml:space="preserve">institutional </w:t>
      </w:r>
      <w:r w:rsidR="0003579B" w:rsidRPr="00B2455C">
        <w:t xml:space="preserve">theory of </w:t>
      </w:r>
      <w:r w:rsidR="00D16D29" w:rsidRPr="00B2455C">
        <w:t>expert</w:t>
      </w:r>
      <w:r w:rsidR="0003579B" w:rsidRPr="00B2455C">
        <w:t xml:space="preserve"> interest</w:t>
      </w:r>
      <w:r w:rsidR="00D16D29" w:rsidRPr="00B2455C">
        <w:t xml:space="preserve">s, </w:t>
      </w:r>
      <w:r w:rsidR="00A1367A" w:rsidRPr="00B2455C">
        <w:t>and</w:t>
      </w:r>
      <w:r w:rsidR="00307930" w:rsidRPr="00B2455C">
        <w:t xml:space="preserve"> highlight</w:t>
      </w:r>
      <w:r w:rsidR="009D4645" w:rsidRPr="00B2455C">
        <w:t xml:space="preserve"> </w:t>
      </w:r>
      <w:r w:rsidR="00307930" w:rsidRPr="00B2455C">
        <w:t>effects of</w:t>
      </w:r>
      <w:r w:rsidR="009D4645" w:rsidRPr="00B2455C">
        <w:t xml:space="preserve"> </w:t>
      </w:r>
      <w:r w:rsidR="00307930" w:rsidRPr="00B2455C">
        <w:t>other powerful groups</w:t>
      </w:r>
      <w:r w:rsidR="00DB089A" w:rsidRPr="00B2455C">
        <w:t xml:space="preserve">. </w:t>
      </w:r>
      <w:r w:rsidR="0049512E" w:rsidRPr="00B2455C">
        <w:t>R</w:t>
      </w:r>
      <w:r w:rsidR="00B447B0" w:rsidRPr="00B2455C">
        <w:t xml:space="preserve">ather than </w:t>
      </w:r>
      <w:r w:rsidR="00DB089A" w:rsidRPr="00B2455C">
        <w:t xml:space="preserve">overstating what the law required, </w:t>
      </w:r>
      <w:r w:rsidR="00D16D29" w:rsidRPr="00B2455C">
        <w:t>risk experts</w:t>
      </w:r>
      <w:r w:rsidR="00D16D29">
        <w:t xml:space="preserve"> </w:t>
      </w:r>
      <w:r w:rsidR="00677E76">
        <w:t xml:space="preserve">sought </w:t>
      </w:r>
      <w:r w:rsidR="00DB089A">
        <w:t xml:space="preserve">to cement their </w:t>
      </w:r>
      <w:r w:rsidR="00236891">
        <w:t>role in</w:t>
      </w:r>
      <w:r w:rsidR="00DB089A">
        <w:t xml:space="preserve"> shareholder-value management with </w:t>
      </w:r>
      <w:r w:rsidR="00677E76">
        <w:t>compliance strategies</w:t>
      </w:r>
      <w:r w:rsidR="0049512E">
        <w:t xml:space="preserve"> </w:t>
      </w:r>
      <w:r w:rsidR="00A1367A">
        <w:t xml:space="preserve">that </w:t>
      </w:r>
      <w:r w:rsidR="003C06C9">
        <w:t xml:space="preserve">they </w:t>
      </w:r>
      <w:r w:rsidR="0098171C">
        <w:t>also marketed as</w:t>
      </w:r>
      <w:r w:rsidR="007C1727">
        <w:t xml:space="preserve"> </w:t>
      </w:r>
      <w:r w:rsidR="005E2B56">
        <w:t>maximiz</w:t>
      </w:r>
      <w:r w:rsidR="0098171C">
        <w:t>ing</w:t>
      </w:r>
      <w:r w:rsidR="005E2B56">
        <w:t xml:space="preserve"> risk-adjusted returns</w:t>
      </w:r>
      <w:r w:rsidR="00A1367A">
        <w:t>. This</w:t>
      </w:r>
      <w:r w:rsidR="005246F8">
        <w:t xml:space="preserve"> agenda</w:t>
      </w:r>
      <w:r w:rsidR="00A1367A">
        <w:t>, we predict, led</w:t>
      </w:r>
      <w:r w:rsidR="006752E3">
        <w:t xml:space="preserve"> them to promote </w:t>
      </w:r>
      <w:r w:rsidR="003C06C9">
        <w:t xml:space="preserve">new </w:t>
      </w:r>
      <w:r w:rsidR="006752E3">
        <w:t>derivatives</w:t>
      </w:r>
      <w:r w:rsidR="0003579B">
        <w:t xml:space="preserve">. </w:t>
      </w:r>
      <w:r w:rsidR="008A3C64">
        <w:t xml:space="preserve">Powerful </w:t>
      </w:r>
      <w:r w:rsidR="00D16D29">
        <w:t>CEOs</w:t>
      </w:r>
      <w:r w:rsidR="00D16D29" w:rsidRPr="00D86AD2">
        <w:t xml:space="preserve"> and fund managers</w:t>
      </w:r>
      <w:r w:rsidR="00D16D29">
        <w:t xml:space="preserve"> had </w:t>
      </w:r>
      <w:r w:rsidR="00B447B0">
        <w:t xml:space="preserve">their own </w:t>
      </w:r>
      <w:proofErr w:type="gramStart"/>
      <w:r w:rsidR="00915DB7">
        <w:t>interests</w:t>
      </w:r>
      <w:proofErr w:type="gramEnd"/>
      <w:r w:rsidR="00915DB7">
        <w:t xml:space="preserve"> vis-à-vis derivatives</w:t>
      </w:r>
      <w:r w:rsidR="00276EC5">
        <w:t>, which</w:t>
      </w:r>
      <w:r w:rsidR="0096779D">
        <w:t xml:space="preserve"> </w:t>
      </w:r>
      <w:r w:rsidR="00B447B0">
        <w:t xml:space="preserve">promised high returns but carried </w:t>
      </w:r>
      <w:r w:rsidR="00236891">
        <w:t xml:space="preserve">known </w:t>
      </w:r>
      <w:r w:rsidR="00B447B0">
        <w:t>risks. CEOs</w:t>
      </w:r>
      <w:r w:rsidR="00276EC5">
        <w:t xml:space="preserve"> boosted derivatives</w:t>
      </w:r>
      <w:r w:rsidR="00B447B0">
        <w:t xml:space="preserve">, we predict, when </w:t>
      </w:r>
      <w:r w:rsidR="003A3D8E">
        <w:t xml:space="preserve">their compensation </w:t>
      </w:r>
      <w:r w:rsidR="00B447B0">
        <w:t xml:space="preserve">rewarded </w:t>
      </w:r>
      <w:r w:rsidR="003A3D8E">
        <w:t>risk-taking</w:t>
      </w:r>
      <w:r w:rsidR="00B447B0">
        <w:t xml:space="preserve">. But neither </w:t>
      </w:r>
      <w:r w:rsidR="003A3D8E">
        <w:t xml:space="preserve">CEOs nor fund managers </w:t>
      </w:r>
      <w:r w:rsidR="00700156">
        <w:t xml:space="preserve">backed derivatives when they held large illiquid </w:t>
      </w:r>
      <w:r w:rsidR="005246F8">
        <w:t xml:space="preserve">ownership </w:t>
      </w:r>
      <w:r w:rsidR="00700156">
        <w:t xml:space="preserve">stakes. </w:t>
      </w:r>
      <w:r w:rsidR="003A3D8E">
        <w:t>We test these predictions u</w:t>
      </w:r>
      <w:r w:rsidR="00A26A5F" w:rsidRPr="001D6EBA">
        <w:t xml:space="preserve">sing data on derivatives </w:t>
      </w:r>
      <w:r w:rsidR="00733FC0">
        <w:t xml:space="preserve">holdings </w:t>
      </w:r>
      <w:r w:rsidR="00A1717C">
        <w:t xml:space="preserve">of 157 large banks </w:t>
      </w:r>
      <w:r w:rsidR="003A3D8E">
        <w:t>between 1995 and 2010</w:t>
      </w:r>
      <w:r w:rsidR="008F773C">
        <w:t>.</w:t>
      </w:r>
      <w:r w:rsidR="00F90E9F">
        <w:t xml:space="preserve"> </w:t>
      </w:r>
      <w:r w:rsidR="00733FC0">
        <w:t xml:space="preserve">We </w:t>
      </w:r>
      <w:r w:rsidR="00700156">
        <w:t xml:space="preserve">suggest that existing agendas of expert groups shape regulatory compliance, as do </w:t>
      </w:r>
      <w:r w:rsidR="001D2956">
        <w:t>the</w:t>
      </w:r>
      <w:r w:rsidR="00915DB7">
        <w:t xml:space="preserve"> </w:t>
      </w:r>
      <w:r w:rsidR="00692E18">
        <w:t xml:space="preserve">interests of </w:t>
      </w:r>
      <w:r w:rsidR="00700156">
        <w:t xml:space="preserve">other </w:t>
      </w:r>
      <w:r w:rsidR="000B345D">
        <w:t>powerful groups</w:t>
      </w:r>
      <w:r w:rsidR="00E36A1D" w:rsidRPr="00F90E9F">
        <w:t xml:space="preserve">. </w:t>
      </w:r>
      <w:r w:rsidR="007144D7" w:rsidRPr="00F90E9F">
        <w:t>The findings have important sub</w:t>
      </w:r>
      <w:r w:rsidR="00F90E9F">
        <w:t xml:space="preserve">stantive implications, for </w:t>
      </w:r>
      <w:r w:rsidR="00BF185F">
        <w:t xml:space="preserve">the </w:t>
      </w:r>
      <w:r w:rsidR="007144D7" w:rsidRPr="00F90E9F">
        <w:t xml:space="preserve">new derivatives </w:t>
      </w:r>
      <w:r w:rsidR="00BF185F">
        <w:t>precipitated the Great Recession</w:t>
      </w:r>
      <w:r w:rsidR="007144D7" w:rsidRPr="00F90E9F">
        <w:t>.</w:t>
      </w:r>
      <w:r w:rsidR="007144D7">
        <w:t xml:space="preserve">  </w:t>
      </w:r>
    </w:p>
    <w:p w14:paraId="711B52A3" w14:textId="77777777" w:rsidR="00064CA6" w:rsidRPr="00F720B2" w:rsidRDefault="00064CA6" w:rsidP="00E7560F"/>
    <w:p w14:paraId="299719D7" w14:textId="77777777" w:rsidR="00347093" w:rsidRDefault="00347093" w:rsidP="00347093">
      <w:pPr>
        <w:sectPr w:rsidR="00347093" w:rsidSect="00347093">
          <w:endnotePr>
            <w:numFmt w:val="decimal"/>
          </w:endnotePr>
          <w:pgSz w:w="12240" w:h="15840"/>
          <w:pgMar w:top="1440" w:right="1440" w:bottom="1440" w:left="1440" w:header="720" w:footer="720" w:gutter="0"/>
          <w:cols w:space="720"/>
          <w:titlePg/>
        </w:sectPr>
      </w:pPr>
    </w:p>
    <w:p w14:paraId="64D56B8D" w14:textId="7F959C38" w:rsidR="008B29BA" w:rsidRPr="00F720B2" w:rsidRDefault="008B29BA" w:rsidP="00347093">
      <w:pPr>
        <w:spacing w:line="480" w:lineRule="auto"/>
        <w:ind w:firstLine="720"/>
      </w:pPr>
      <w:bookmarkStart w:id="0" w:name="_GoBack"/>
      <w:bookmarkEnd w:id="0"/>
      <w:r w:rsidRPr="00F720B2">
        <w:lastRenderedPageBreak/>
        <w:t xml:space="preserve">In the 1990s and 2000s, risk-taking </w:t>
      </w:r>
      <w:r w:rsidR="00875B70">
        <w:t xml:space="preserve">among U.S. investment and commercial banks </w:t>
      </w:r>
      <w:r w:rsidRPr="00F720B2">
        <w:t xml:space="preserve">reached new heights, eventually </w:t>
      </w:r>
      <w:r w:rsidR="00865CD2">
        <w:t>setting off</w:t>
      </w:r>
      <w:r w:rsidRPr="00F720B2">
        <w:t xml:space="preserve"> a massive global financial crisis. </w:t>
      </w:r>
      <w:r w:rsidR="00E36A1D">
        <w:t>The c</w:t>
      </w:r>
      <w:r w:rsidR="00952E3F">
        <w:t>onsequences were</w:t>
      </w:r>
      <w:r w:rsidR="00E36A1D">
        <w:t xml:space="preserve"> </w:t>
      </w:r>
      <w:r w:rsidR="0064039D">
        <w:t xml:space="preserve">severe and </w:t>
      </w:r>
      <w:r w:rsidR="008E7114">
        <w:t xml:space="preserve">wide-ranging. </w:t>
      </w:r>
      <w:r w:rsidRPr="00F720B2">
        <w:t xml:space="preserve">Household net worth </w:t>
      </w:r>
      <w:r w:rsidR="00952E3F">
        <w:t xml:space="preserve">plummeted </w:t>
      </w:r>
      <w:r w:rsidRPr="00F720B2">
        <w:t xml:space="preserve">(Lutrell, Atkinson, and Rosenblum 2013), </w:t>
      </w:r>
      <w:r w:rsidR="00952E3F">
        <w:t xml:space="preserve">while </w:t>
      </w:r>
      <w:r w:rsidR="00E36A1D">
        <w:t>unemployment and household</w:t>
      </w:r>
      <w:r w:rsidRPr="00F720B2">
        <w:t xml:space="preserve"> </w:t>
      </w:r>
      <w:r w:rsidR="00952E3F">
        <w:t xml:space="preserve">debt </w:t>
      </w:r>
      <w:r w:rsidRPr="00F720B2">
        <w:t xml:space="preserve">skyrocketed (Hurd and Rohwedder 2010). States made broad cuts in spending and public </w:t>
      </w:r>
      <w:r w:rsidR="00952E3F">
        <w:t>employment</w:t>
      </w:r>
      <w:r w:rsidR="00952E3F" w:rsidRPr="00F720B2">
        <w:t xml:space="preserve"> </w:t>
      </w:r>
      <w:r w:rsidRPr="00F720B2">
        <w:t>(Grovum 2013). Conservative estimates peg the total cost of the crisis at $6 to $14 trillion (</w:t>
      </w:r>
      <w:r w:rsidR="00DD4820">
        <w:t>Lutrell et al.</w:t>
      </w:r>
      <w:r w:rsidRPr="00F720B2">
        <w:t xml:space="preserve"> 2013: 2). Almost a decade later, the American economy has yet to fully recover.</w:t>
      </w:r>
    </w:p>
    <w:p w14:paraId="4638A316" w14:textId="6177DFDA" w:rsidR="00F05FE7" w:rsidRDefault="008B29BA" w:rsidP="00347093">
      <w:pPr>
        <w:spacing w:line="480" w:lineRule="auto"/>
        <w:ind w:firstLine="720"/>
      </w:pPr>
      <w:r w:rsidRPr="00F720B2">
        <w:t>Financial derivatives played a key</w:t>
      </w:r>
      <w:r w:rsidR="006E744C">
        <w:t xml:space="preserve"> role in the crisis (Lewis 2010</w:t>
      </w:r>
      <w:r w:rsidRPr="00F720B2">
        <w:t>;</w:t>
      </w:r>
      <w:r w:rsidRPr="008C22D9">
        <w:t xml:space="preserve"> Hera </w:t>
      </w:r>
      <w:r w:rsidRPr="004B7F5F">
        <w:t xml:space="preserve">2011; </w:t>
      </w:r>
      <w:r w:rsidRPr="004B7F5F">
        <w:rPr>
          <w:i/>
        </w:rPr>
        <w:t xml:space="preserve">The Economist </w:t>
      </w:r>
      <w:r w:rsidRPr="004B7F5F">
        <w:t>2008). After the late 1990s, bank holdings of new</w:t>
      </w:r>
      <w:r w:rsidR="003A507E" w:rsidRPr="004B7F5F">
        <w:t xml:space="preserve"> forms of derivatives</w:t>
      </w:r>
      <w:r w:rsidR="00875B70" w:rsidRPr="004B7F5F">
        <w:t xml:space="preserve">, such as </w:t>
      </w:r>
      <w:r w:rsidR="00550A88" w:rsidRPr="004B7F5F">
        <w:t>credit-default swaps</w:t>
      </w:r>
      <w:r w:rsidR="009079D5" w:rsidRPr="004B7F5F">
        <w:t xml:space="preserve"> and synthetic CDOs</w:t>
      </w:r>
      <w:r w:rsidR="00550A88" w:rsidRPr="004B7F5F">
        <w:t xml:space="preserve">, spiked. </w:t>
      </w:r>
      <w:r w:rsidR="0024141A" w:rsidRPr="004B7F5F">
        <w:t xml:space="preserve">These financial instruments </w:t>
      </w:r>
      <w:r w:rsidR="005C17A1" w:rsidRPr="004B7F5F">
        <w:t xml:space="preserve">were </w:t>
      </w:r>
      <w:r w:rsidR="006221C6" w:rsidRPr="004B7F5F">
        <w:t xml:space="preserve">negotiated through </w:t>
      </w:r>
      <w:r w:rsidR="00A65397" w:rsidRPr="004B7F5F">
        <w:t xml:space="preserve">complex, </w:t>
      </w:r>
      <w:r w:rsidR="0024141A" w:rsidRPr="004B7F5F">
        <w:t>one-off contracts that could not be traded on established exchanges</w:t>
      </w:r>
      <w:r w:rsidR="002D76FB" w:rsidRPr="004B7F5F">
        <w:t xml:space="preserve">.  They </w:t>
      </w:r>
      <w:r w:rsidR="00A23B39" w:rsidRPr="004B7F5F">
        <w:t xml:space="preserve">contributed to the crisis </w:t>
      </w:r>
      <w:r w:rsidR="00DF69AF" w:rsidRPr="004B7F5F">
        <w:t xml:space="preserve">in two </w:t>
      </w:r>
      <w:r w:rsidR="00966E2E" w:rsidRPr="004B7F5F">
        <w:t xml:space="preserve">major </w:t>
      </w:r>
      <w:r w:rsidR="00DF69AF" w:rsidRPr="004B7F5F">
        <w:t xml:space="preserve">ways: </w:t>
      </w:r>
      <w:r w:rsidR="00A23B39" w:rsidRPr="004B7F5F">
        <w:t xml:space="preserve">by </w:t>
      </w:r>
      <w:r w:rsidR="00D96C4D">
        <w:t xml:space="preserve">allowing banks to </w:t>
      </w:r>
      <w:r w:rsidR="002D76FB" w:rsidRPr="004B7F5F">
        <w:t>a</w:t>
      </w:r>
      <w:r w:rsidR="00D96C4D">
        <w:t xml:space="preserve">mplify their </w:t>
      </w:r>
      <w:r w:rsidR="004332B8" w:rsidRPr="004B7F5F">
        <w:t xml:space="preserve">exposure to </w:t>
      </w:r>
      <w:r w:rsidR="00A23B39" w:rsidRPr="004B7F5F">
        <w:t xml:space="preserve">risky </w:t>
      </w:r>
      <w:r w:rsidR="004332B8" w:rsidRPr="004B7F5F">
        <w:t>subprime mortgages</w:t>
      </w:r>
      <w:r w:rsidR="002D76FB" w:rsidRPr="004B7F5F">
        <w:t xml:space="preserve">, </w:t>
      </w:r>
      <w:r w:rsidR="00A23B39" w:rsidRPr="004B7F5F">
        <w:t xml:space="preserve">and </w:t>
      </w:r>
      <w:r w:rsidR="002D76FB" w:rsidRPr="004B7F5F">
        <w:t xml:space="preserve">by </w:t>
      </w:r>
      <w:r w:rsidR="008A7DB5" w:rsidRPr="004B7F5F">
        <w:t>expos</w:t>
      </w:r>
      <w:r w:rsidR="00A23B39" w:rsidRPr="004B7F5F">
        <w:t>ing</w:t>
      </w:r>
      <w:r w:rsidR="001E0A4C" w:rsidRPr="004B7F5F">
        <w:t xml:space="preserve"> </w:t>
      </w:r>
      <w:r w:rsidR="001A3DB9" w:rsidRPr="004B7F5F">
        <w:t xml:space="preserve">banks </w:t>
      </w:r>
      <w:r w:rsidR="001E0A4C" w:rsidRPr="004B7F5F">
        <w:t xml:space="preserve">to </w:t>
      </w:r>
      <w:r w:rsidR="0024141A" w:rsidRPr="004B7F5F">
        <w:t xml:space="preserve">greater </w:t>
      </w:r>
      <w:r w:rsidR="00462F2B" w:rsidRPr="004B7F5F">
        <w:t xml:space="preserve">credit </w:t>
      </w:r>
      <w:r w:rsidR="00A23B39" w:rsidRPr="004B7F5F">
        <w:t xml:space="preserve">risk (the risk that the other </w:t>
      </w:r>
      <w:r w:rsidR="00085857">
        <w:t xml:space="preserve">party to </w:t>
      </w:r>
      <w:r w:rsidR="00F05FE7">
        <w:t xml:space="preserve">a </w:t>
      </w:r>
      <w:r w:rsidR="00A23B39" w:rsidRPr="004B7F5F">
        <w:t xml:space="preserve">contract won’t pay up) </w:t>
      </w:r>
      <w:r w:rsidR="00462F2B" w:rsidRPr="004B7F5F">
        <w:t xml:space="preserve">and liquidity </w:t>
      </w:r>
      <w:r w:rsidR="0024141A" w:rsidRPr="004B7F5F">
        <w:t xml:space="preserve">risk </w:t>
      </w:r>
      <w:r w:rsidR="00A23B39" w:rsidRPr="004B7F5F">
        <w:t xml:space="preserve">(the risk that </w:t>
      </w:r>
      <w:r w:rsidR="00A23B39" w:rsidRPr="00080D5F">
        <w:rPr>
          <w:rFonts w:eastAsia="Times New Roman"/>
          <w:color w:val="000000"/>
          <w:shd w:val="clear" w:color="auto" w:fill="FFFFFF"/>
        </w:rPr>
        <w:t xml:space="preserve">that </w:t>
      </w:r>
      <w:r w:rsidR="004B7F5F" w:rsidRPr="004B7F5F">
        <w:rPr>
          <w:rFonts w:eastAsia="Times New Roman"/>
          <w:color w:val="000000"/>
          <w:shd w:val="clear" w:color="auto" w:fill="FFFFFF"/>
        </w:rPr>
        <w:t xml:space="preserve">the bank </w:t>
      </w:r>
      <w:r w:rsidR="00A23B39" w:rsidRPr="00080D5F">
        <w:rPr>
          <w:rFonts w:eastAsia="Times New Roman"/>
          <w:color w:val="000000"/>
          <w:shd w:val="clear" w:color="auto" w:fill="FFFFFF"/>
        </w:rPr>
        <w:t>won’t be able to unwind the contract for its expected value)</w:t>
      </w:r>
      <w:r w:rsidR="00966E2E" w:rsidRPr="004B7F5F">
        <w:t xml:space="preserve"> (Davi 2009</w:t>
      </w:r>
      <w:r w:rsidR="001D4C6E">
        <w:t>; Stiglitz 2009</w:t>
      </w:r>
      <w:r w:rsidR="00807958">
        <w:t>b</w:t>
      </w:r>
      <w:r w:rsidR="00966E2E" w:rsidRPr="004B7F5F">
        <w:t>)</w:t>
      </w:r>
      <w:r w:rsidR="0024141A" w:rsidRPr="004B7F5F">
        <w:t>.</w:t>
      </w:r>
      <w:r w:rsidR="00311ABC" w:rsidRPr="00311ABC">
        <w:t xml:space="preserve"> </w:t>
      </w:r>
      <w:r w:rsidR="00202D36" w:rsidRPr="004B7F5F">
        <w:t xml:space="preserve">When the crisis hit, </w:t>
      </w:r>
      <w:r w:rsidR="00966E2E" w:rsidRPr="004B7F5F">
        <w:t xml:space="preserve">these </w:t>
      </w:r>
      <w:r w:rsidR="004332B8" w:rsidRPr="004B7F5F">
        <w:t xml:space="preserve">factors </w:t>
      </w:r>
      <w:r w:rsidR="003946A5" w:rsidRPr="004B7F5F">
        <w:t xml:space="preserve">led to </w:t>
      </w:r>
      <w:r w:rsidR="001A3DB9" w:rsidRPr="004B7F5F">
        <w:t xml:space="preserve">massive </w:t>
      </w:r>
      <w:r w:rsidR="004332B8" w:rsidRPr="004B7F5F">
        <w:t xml:space="preserve">losses </w:t>
      </w:r>
      <w:r w:rsidR="00754386" w:rsidRPr="004B7F5F">
        <w:t xml:space="preserve">for America’s most systemically important financial institutions </w:t>
      </w:r>
      <w:r w:rsidR="0080764C" w:rsidRPr="004B7F5F">
        <w:t>(</w:t>
      </w:r>
      <w:r w:rsidR="0000402E" w:rsidRPr="004B7F5F">
        <w:t>Nocera and McLean 2011;</w:t>
      </w:r>
      <w:r w:rsidR="00ED302D">
        <w:t xml:space="preserve"> Stiglitz 2009</w:t>
      </w:r>
      <w:r w:rsidR="00807958">
        <w:t>a</w:t>
      </w:r>
      <w:r w:rsidR="0080764C" w:rsidRPr="004B7F5F">
        <w:t>)</w:t>
      </w:r>
      <w:r w:rsidR="004332B8" w:rsidRPr="004B7F5F">
        <w:t xml:space="preserve">. </w:t>
      </w:r>
    </w:p>
    <w:p w14:paraId="02B60AE9" w14:textId="01AB22DE" w:rsidR="00FB441F" w:rsidRPr="00F720B2" w:rsidRDefault="005E382F" w:rsidP="00622847">
      <w:pPr>
        <w:spacing w:line="480" w:lineRule="auto"/>
        <w:ind w:firstLine="720"/>
      </w:pPr>
      <w:r w:rsidRPr="004B7F5F">
        <w:t>U.S. and</w:t>
      </w:r>
      <w:r w:rsidRPr="008A7DB5">
        <w:t xml:space="preserve"> global regulators had sought to limit bank risk-taking in the years leading up to the crisis</w:t>
      </w:r>
      <w:r w:rsidR="004B7F5F">
        <w:t xml:space="preserve"> </w:t>
      </w:r>
      <w:r w:rsidR="004B7F5F" w:rsidRPr="008A7DB5">
        <w:t>(Sarbanes-Oxley Act</w:t>
      </w:r>
      <w:r w:rsidR="004B7F5F">
        <w:t xml:space="preserve"> of 2002; </w:t>
      </w:r>
      <w:r w:rsidR="004B7F5F" w:rsidRPr="009A5F2A">
        <w:t xml:space="preserve">Basel </w:t>
      </w:r>
      <w:r w:rsidR="00CF44DE" w:rsidRPr="009A5F2A">
        <w:t xml:space="preserve">Committee for Banking Supervision </w:t>
      </w:r>
      <w:r w:rsidR="004B7F5F" w:rsidRPr="009A5F2A">
        <w:t>2004)</w:t>
      </w:r>
      <w:r w:rsidRPr="009A5F2A">
        <w:t>,</w:t>
      </w:r>
      <w:r w:rsidRPr="008A7DB5">
        <w:t xml:space="preserve"> but their efforts did not dampen bank enthusiasm for these new derivatives</w:t>
      </w:r>
      <w:r w:rsidR="008B29BA">
        <w:t xml:space="preserve">. Why did </w:t>
      </w:r>
      <w:r w:rsidR="008B29BA" w:rsidRPr="00460859">
        <w:t xml:space="preserve">banks embrace </w:t>
      </w:r>
      <w:r w:rsidR="009C06BF">
        <w:t>complex</w:t>
      </w:r>
      <w:r w:rsidR="00A77CC3">
        <w:t>, novel derivatives that carried substantial risk</w:t>
      </w:r>
      <w:r w:rsidR="009C06BF">
        <w:t xml:space="preserve"> </w:t>
      </w:r>
      <w:r w:rsidRPr="00460859">
        <w:t>in the face of regulatory pressur</w:t>
      </w:r>
      <w:r w:rsidR="0089280B">
        <w:t xml:space="preserve">e to limit risk? </w:t>
      </w:r>
      <w:r w:rsidR="00BF163B" w:rsidRPr="00460859">
        <w:t>To explain</w:t>
      </w:r>
      <w:r w:rsidR="0049367F">
        <w:t xml:space="preserve"> this, </w:t>
      </w:r>
      <w:r w:rsidR="00BF163B" w:rsidRPr="00460859">
        <w:t>e</w:t>
      </w:r>
      <w:r w:rsidR="00952E3F" w:rsidRPr="00460859">
        <w:t xml:space="preserve">conomists </w:t>
      </w:r>
      <w:r w:rsidR="005B41AA" w:rsidRPr="00460859">
        <w:t xml:space="preserve">have </w:t>
      </w:r>
      <w:r w:rsidR="00CC0828" w:rsidRPr="00460859">
        <w:t xml:space="preserve">focused on </w:t>
      </w:r>
      <w:r w:rsidR="001E1C85" w:rsidRPr="00460859">
        <w:t xml:space="preserve">implicit </w:t>
      </w:r>
      <w:r w:rsidR="00DA356D" w:rsidRPr="00460859">
        <w:t>government subsidies,</w:t>
      </w:r>
      <w:r w:rsidR="000B5554" w:rsidRPr="00460859">
        <w:t xml:space="preserve"> </w:t>
      </w:r>
      <w:r w:rsidR="00D32B45">
        <w:t xml:space="preserve">liberal </w:t>
      </w:r>
      <w:r w:rsidR="001E1C85" w:rsidRPr="00460859">
        <w:t xml:space="preserve">monetary </w:t>
      </w:r>
      <w:r w:rsidR="001E1C85" w:rsidRPr="00B217EF">
        <w:t>polic</w:t>
      </w:r>
      <w:r w:rsidR="003767A4" w:rsidRPr="00B217EF">
        <w:t>y</w:t>
      </w:r>
      <w:r w:rsidR="00DA356D" w:rsidRPr="00B217EF">
        <w:t>,</w:t>
      </w:r>
      <w:r w:rsidR="00460859" w:rsidRPr="00B217EF">
        <w:t xml:space="preserve"> and</w:t>
      </w:r>
      <w:r w:rsidR="00DA356D" w:rsidRPr="00B217EF">
        <w:t xml:space="preserve"> </w:t>
      </w:r>
      <w:r w:rsidR="007E0F0F" w:rsidRPr="00B217EF">
        <w:t>broad</w:t>
      </w:r>
      <w:r w:rsidR="00DA356D" w:rsidRPr="00B217EF">
        <w:t xml:space="preserve"> macroeconomic trends</w:t>
      </w:r>
      <w:r w:rsidR="003767A4" w:rsidRPr="00B217EF">
        <w:t xml:space="preserve"> </w:t>
      </w:r>
      <w:r w:rsidR="008B29BA" w:rsidRPr="00B217EF">
        <w:t>(</w:t>
      </w:r>
      <w:r w:rsidR="00810BE2" w:rsidRPr="00B217EF">
        <w:t>Dell</w:t>
      </w:r>
      <w:r w:rsidR="00810BE2" w:rsidRPr="00B217EF">
        <w:rPr>
          <w:rFonts w:ascii="American Typewriter" w:hAnsi="American Typewriter" w:cs="American Typewriter"/>
        </w:rPr>
        <w:t>ʼ</w:t>
      </w:r>
      <w:r w:rsidR="00810BE2" w:rsidRPr="00DA356D">
        <w:t>Ariccia, Laeven, </w:t>
      </w:r>
      <w:r w:rsidR="004D25FC">
        <w:t xml:space="preserve">and </w:t>
      </w:r>
      <w:r w:rsidR="00810BE2" w:rsidRPr="00DA356D">
        <w:t>Marquez</w:t>
      </w:r>
      <w:r w:rsidR="001E1C85" w:rsidRPr="00DA356D">
        <w:t xml:space="preserve"> 2014;</w:t>
      </w:r>
      <w:r w:rsidR="005433A7" w:rsidRPr="00DA356D">
        <w:t xml:space="preserve"> </w:t>
      </w:r>
      <w:r w:rsidR="005433A7" w:rsidRPr="00DA356D">
        <w:lastRenderedPageBreak/>
        <w:t>Schularick and Taylor 2012</w:t>
      </w:r>
      <w:r w:rsidR="008B29BA" w:rsidRPr="00DA356D">
        <w:t>). Organizational theorists have focused on the design of risk modeling</w:t>
      </w:r>
      <w:r w:rsidR="001E1C85" w:rsidRPr="00DA356D">
        <w:t xml:space="preserve"> and on</w:t>
      </w:r>
      <w:r w:rsidR="008B29BA" w:rsidRPr="00DA356D">
        <w:t xml:space="preserve"> relationships between financial market participants (Millo and MacKenzie</w:t>
      </w:r>
      <w:r w:rsidR="008B29BA" w:rsidRPr="00F720B2">
        <w:t xml:space="preserve"> 2009; MacKenzie 2011; Pernell-Gallagher 2015), while economic sociologists have </w:t>
      </w:r>
      <w:r w:rsidR="00F91699">
        <w:t xml:space="preserve">highlighted </w:t>
      </w:r>
      <w:r w:rsidR="008B29BA" w:rsidRPr="00F720B2">
        <w:t xml:space="preserve">the </w:t>
      </w:r>
      <w:r w:rsidR="00952E3F">
        <w:t xml:space="preserve">failure of </w:t>
      </w:r>
      <w:r w:rsidR="008B29BA" w:rsidRPr="00F720B2">
        <w:t>credit rating agencies (Carruthers 2010</w:t>
      </w:r>
      <w:r w:rsidR="00F91699">
        <w:t>)</w:t>
      </w:r>
      <w:r w:rsidR="00561D1F">
        <w:t xml:space="preserve"> </w:t>
      </w:r>
      <w:r w:rsidR="00615FA2">
        <w:t>and</w:t>
      </w:r>
      <w:r w:rsidR="000B5554">
        <w:t xml:space="preserve"> gaps in</w:t>
      </w:r>
      <w:r w:rsidR="00460859">
        <w:t xml:space="preserve"> </w:t>
      </w:r>
      <w:r w:rsidR="001E1C85">
        <w:t xml:space="preserve">regulatory </w:t>
      </w:r>
      <w:r w:rsidR="001E1C85" w:rsidRPr="00E135EC">
        <w:t xml:space="preserve">oversight </w:t>
      </w:r>
      <w:r w:rsidR="00460859" w:rsidRPr="00E135EC">
        <w:t xml:space="preserve">of </w:t>
      </w:r>
      <w:r w:rsidR="00020722" w:rsidRPr="00E135EC">
        <w:t xml:space="preserve">financial </w:t>
      </w:r>
      <w:r w:rsidR="00615FA2" w:rsidRPr="00E135EC">
        <w:t>innovations</w:t>
      </w:r>
      <w:r w:rsidR="00615FA2">
        <w:t xml:space="preserve"> </w:t>
      </w:r>
      <w:r w:rsidR="00561D1F">
        <w:t>(Funk and Hirschman 2014)</w:t>
      </w:r>
      <w:r w:rsidR="008B29BA" w:rsidRPr="00F720B2">
        <w:t xml:space="preserve">. </w:t>
      </w:r>
      <w:r w:rsidR="00EC7961" w:rsidRPr="00F720B2">
        <w:t>We offer a complementary account</w:t>
      </w:r>
      <w:r w:rsidR="005D5D40">
        <w:t xml:space="preserve"> that</w:t>
      </w:r>
      <w:r w:rsidR="00F91699">
        <w:t xml:space="preserve"> call</w:t>
      </w:r>
      <w:r w:rsidR="005D5D40">
        <w:t>s</w:t>
      </w:r>
      <w:r w:rsidR="00F91699">
        <w:t xml:space="preserve"> </w:t>
      </w:r>
      <w:r w:rsidR="00EC7961" w:rsidRPr="00F720B2">
        <w:t xml:space="preserve">attention to the agenda of </w:t>
      </w:r>
      <w:r w:rsidR="00A85524">
        <w:t xml:space="preserve">chief risk officers, </w:t>
      </w:r>
      <w:r w:rsidR="00085857">
        <w:t xml:space="preserve">who were </w:t>
      </w:r>
      <w:r w:rsidR="00EC7961" w:rsidRPr="00F720B2">
        <w:t xml:space="preserve">charged with </w:t>
      </w:r>
      <w:r w:rsidR="00085857">
        <w:t>managing regulatory compliance</w:t>
      </w:r>
      <w:r w:rsidR="00A85524">
        <w:t>,</w:t>
      </w:r>
      <w:r w:rsidR="00EC7961" w:rsidRPr="00F720B2">
        <w:t xml:space="preserve"> and to </w:t>
      </w:r>
      <w:r w:rsidR="00A85524">
        <w:t xml:space="preserve">the interests of CEOs and professional fund managers. </w:t>
      </w:r>
      <w:r w:rsidR="0049367F">
        <w:tab/>
      </w:r>
    </w:p>
    <w:p w14:paraId="2B91E46E" w14:textId="4CDCF482" w:rsidR="00126BBB" w:rsidRDefault="000420D5" w:rsidP="00622847">
      <w:pPr>
        <w:spacing w:line="480" w:lineRule="auto"/>
        <w:ind w:firstLine="720"/>
      </w:pPr>
      <w:r w:rsidRPr="00F720B2">
        <w:t>We argue that w</w:t>
      </w:r>
      <w:r w:rsidR="004B525D" w:rsidRPr="00F720B2">
        <w:t xml:space="preserve">hen </w:t>
      </w:r>
      <w:r w:rsidR="008B29BA" w:rsidRPr="00F720B2">
        <w:t xml:space="preserve">risk </w:t>
      </w:r>
      <w:r w:rsidR="00D91729" w:rsidRPr="00F720B2">
        <w:t xml:space="preserve">experts </w:t>
      </w:r>
      <w:r w:rsidR="00085857">
        <w:t xml:space="preserve">were appointed as CROs, </w:t>
      </w:r>
      <w:r w:rsidR="004B525D" w:rsidRPr="00F720B2">
        <w:t xml:space="preserve">they </w:t>
      </w:r>
      <w:r w:rsidR="00140361">
        <w:t>brought an agenda of max</w:t>
      </w:r>
      <w:r w:rsidR="00EC7961">
        <w:t>imizing risk-adjusted returns</w:t>
      </w:r>
      <w:r w:rsidR="00C46314">
        <w:t xml:space="preserve">, which </w:t>
      </w:r>
      <w:r w:rsidR="00D21709" w:rsidRPr="00F720B2">
        <w:t>led the</w:t>
      </w:r>
      <w:r w:rsidR="00A84221">
        <w:t>m</w:t>
      </w:r>
      <w:r w:rsidR="00D21709" w:rsidRPr="00F720B2">
        <w:t xml:space="preserve"> to promote </w:t>
      </w:r>
      <w:r w:rsidR="00A76EAC">
        <w:t>new</w:t>
      </w:r>
      <w:r w:rsidR="00A12EC3">
        <w:t xml:space="preserve"> </w:t>
      </w:r>
      <w:r w:rsidR="00D21709" w:rsidRPr="00F720B2">
        <w:t>derivatives</w:t>
      </w:r>
      <w:r w:rsidR="00A84221">
        <w:t xml:space="preserve"> </w:t>
      </w:r>
      <w:r w:rsidR="00CD04DF">
        <w:t xml:space="preserve">as tools to </w:t>
      </w:r>
      <w:r w:rsidR="00E85D60">
        <w:t>facilitate</w:t>
      </w:r>
      <w:r w:rsidR="00F930B2">
        <w:t xml:space="preserve"> </w:t>
      </w:r>
      <w:r w:rsidR="00740F21">
        <w:t>efficient</w:t>
      </w:r>
      <w:r w:rsidR="00AC27D6">
        <w:t xml:space="preserve"> </w:t>
      </w:r>
      <w:r w:rsidR="00020722">
        <w:t xml:space="preserve">resource </w:t>
      </w:r>
      <w:r w:rsidR="00A84221">
        <w:t xml:space="preserve">allocation and </w:t>
      </w:r>
      <w:r w:rsidR="00053E47">
        <w:t>risk management</w:t>
      </w:r>
      <w:r w:rsidR="00B13505" w:rsidRPr="0043486C">
        <w:t xml:space="preserve">. </w:t>
      </w:r>
      <w:r w:rsidR="00A76EAC" w:rsidRPr="0043486C">
        <w:t xml:space="preserve">Derivatives are financial contracts that allow users to acquire, or shed, </w:t>
      </w:r>
      <w:r w:rsidR="005815F1">
        <w:t xml:space="preserve">exposure to the risks of </w:t>
      </w:r>
      <w:r w:rsidR="00A76EAC" w:rsidRPr="0043486C">
        <w:t>an asset</w:t>
      </w:r>
      <w:r w:rsidR="00E45E20">
        <w:t xml:space="preserve"> without </w:t>
      </w:r>
      <w:r w:rsidR="005B5F36">
        <w:t>affecting the</w:t>
      </w:r>
      <w:r w:rsidR="00E45E20">
        <w:t xml:space="preserve"> </w:t>
      </w:r>
      <w:r w:rsidR="00AC27D6">
        <w:t xml:space="preserve">asset’s </w:t>
      </w:r>
      <w:r w:rsidR="005B5F36">
        <w:t>ownership</w:t>
      </w:r>
      <w:r w:rsidR="00AC27D6" w:rsidRPr="00E85D60">
        <w:t xml:space="preserve">. </w:t>
      </w:r>
      <w:r w:rsidR="00784FAF" w:rsidRPr="00E85D60">
        <w:t xml:space="preserve">Risk experts </w:t>
      </w:r>
      <w:r w:rsidR="00B74A63" w:rsidRPr="00E85D60">
        <w:t xml:space="preserve">seeking to maximize profit </w:t>
      </w:r>
      <w:r w:rsidR="00E85D60" w:rsidRPr="00E85D60">
        <w:t>saw</w:t>
      </w:r>
      <w:r w:rsidR="006D7366" w:rsidRPr="00E85D60">
        <w:t xml:space="preserve"> </w:t>
      </w:r>
      <w:r w:rsidR="00142293" w:rsidRPr="00E85D60">
        <w:t xml:space="preserve">the new </w:t>
      </w:r>
      <w:r w:rsidR="00784FAF" w:rsidRPr="00E85D60">
        <w:t>derivatives</w:t>
      </w:r>
      <w:r w:rsidR="00B74A63" w:rsidRPr="00E85D60">
        <w:t xml:space="preserve"> </w:t>
      </w:r>
      <w:r w:rsidR="006D7366" w:rsidRPr="00E85D60">
        <w:t xml:space="preserve">as </w:t>
      </w:r>
      <w:r w:rsidR="00E85D60" w:rsidRPr="00E85D60">
        <w:t xml:space="preserve">powerful </w:t>
      </w:r>
      <w:r w:rsidR="006D7366" w:rsidRPr="00E85D60">
        <w:t xml:space="preserve">tools that </w:t>
      </w:r>
      <w:r w:rsidR="00420E21">
        <w:t xml:space="preserve">enabled </w:t>
      </w:r>
      <w:r w:rsidR="00B74A63" w:rsidRPr="00E85D60">
        <w:t>users to adjust</w:t>
      </w:r>
      <w:r w:rsidR="00E85D60" w:rsidRPr="00E85D60">
        <w:t xml:space="preserve"> </w:t>
      </w:r>
      <w:r w:rsidR="00E85D60">
        <w:t xml:space="preserve">their </w:t>
      </w:r>
      <w:r w:rsidR="00AC27D6" w:rsidRPr="00E85D60">
        <w:t xml:space="preserve">exposures </w:t>
      </w:r>
      <w:r w:rsidR="00B74A63" w:rsidRPr="00E85D60">
        <w:t>to particular investments</w:t>
      </w:r>
      <w:r w:rsidR="00AF2D5C" w:rsidRPr="00E85D60">
        <w:t xml:space="preserve"> </w:t>
      </w:r>
      <w:r w:rsidR="00076938" w:rsidRPr="00E85D60">
        <w:t>(</w:t>
      </w:r>
      <w:r w:rsidR="00BB3C96">
        <w:t>e.g.</w:t>
      </w:r>
      <w:r w:rsidR="00E85D60">
        <w:t xml:space="preserve"> </w:t>
      </w:r>
      <w:r w:rsidR="00076938" w:rsidRPr="00E85D60">
        <w:t xml:space="preserve">mortgages, corporate bonds, </w:t>
      </w:r>
      <w:r w:rsidR="00E85D60">
        <w:t xml:space="preserve">or </w:t>
      </w:r>
      <w:r w:rsidR="00142293" w:rsidRPr="00E85D60">
        <w:t xml:space="preserve">currency </w:t>
      </w:r>
      <w:r w:rsidR="00076938" w:rsidRPr="00E85D60">
        <w:t xml:space="preserve">holdings) </w:t>
      </w:r>
      <w:r w:rsidR="00AC27D6" w:rsidRPr="00E85D60">
        <w:t>quickly</w:t>
      </w:r>
      <w:r w:rsidR="00A84221">
        <w:t xml:space="preserve">, </w:t>
      </w:r>
      <w:r w:rsidR="006E1CA6" w:rsidRPr="00E85D60">
        <w:t>precisely</w:t>
      </w:r>
      <w:r w:rsidR="00A84221">
        <w:t>, and cheaply</w:t>
      </w:r>
      <w:r w:rsidR="00AC27D6" w:rsidRPr="00E85D60">
        <w:t xml:space="preserve">. </w:t>
      </w:r>
      <w:r w:rsidR="00A27CDD">
        <w:t>The ability to r</w:t>
      </w:r>
      <w:r w:rsidR="00A84221">
        <w:t>apid</w:t>
      </w:r>
      <w:r w:rsidR="00A27CDD">
        <w:t>ly and flexibly</w:t>
      </w:r>
      <w:r w:rsidR="00A84221">
        <w:t xml:space="preserve"> </w:t>
      </w:r>
      <w:r w:rsidR="00A27CDD">
        <w:t>adjust</w:t>
      </w:r>
      <w:r w:rsidR="00496B0F">
        <w:t xml:space="preserve"> </w:t>
      </w:r>
      <w:r w:rsidR="00A84221">
        <w:t>exposure</w:t>
      </w:r>
      <w:r w:rsidR="00A27CDD">
        <w:t>s</w:t>
      </w:r>
      <w:r w:rsidR="00A84221">
        <w:t xml:space="preserve"> </w:t>
      </w:r>
      <w:r w:rsidR="00020722">
        <w:t xml:space="preserve">was a priority </w:t>
      </w:r>
      <w:r w:rsidR="00A27CDD">
        <w:t>for</w:t>
      </w:r>
      <w:r w:rsidR="00020722">
        <w:t xml:space="preserve"> risk </w:t>
      </w:r>
      <w:r w:rsidR="00CD04DF">
        <w:t xml:space="preserve">specialists </w:t>
      </w:r>
      <w:r w:rsidR="00A27CDD">
        <w:t xml:space="preserve">who </w:t>
      </w:r>
      <w:r w:rsidR="00020722">
        <w:t>s</w:t>
      </w:r>
      <w:r w:rsidR="00A27CDD">
        <w:t>ought</w:t>
      </w:r>
      <w:r w:rsidR="00020722">
        <w:t xml:space="preserve"> to </w:t>
      </w:r>
      <w:r w:rsidR="004E330B" w:rsidRPr="00E85D60">
        <w:t>bring</w:t>
      </w:r>
      <w:r w:rsidR="006D7366" w:rsidRPr="00E85D60">
        <w:t xml:space="preserve"> risk</w:t>
      </w:r>
      <w:r w:rsidR="00020722">
        <w:t>, and thus profit potential,</w:t>
      </w:r>
      <w:r w:rsidR="006D7366" w:rsidRPr="00E85D60">
        <w:t xml:space="preserve"> </w:t>
      </w:r>
      <w:r w:rsidR="00E85D60">
        <w:t xml:space="preserve">as close </w:t>
      </w:r>
      <w:r w:rsidR="00027099">
        <w:t>to</w:t>
      </w:r>
      <w:r w:rsidR="00A27CDD">
        <w:t xml:space="preserve"> </w:t>
      </w:r>
      <w:r w:rsidR="00027099">
        <w:t xml:space="preserve">the </w:t>
      </w:r>
      <w:r w:rsidR="00E85D60">
        <w:t xml:space="preserve">maximum </w:t>
      </w:r>
      <w:r w:rsidR="006D7366" w:rsidRPr="00E85D60">
        <w:t>limit</w:t>
      </w:r>
      <w:r w:rsidR="00027099">
        <w:t>s</w:t>
      </w:r>
      <w:r w:rsidR="00A27CDD">
        <w:t xml:space="preserve"> as possible.</w:t>
      </w:r>
      <w:r w:rsidR="00BB3C96">
        <w:t xml:space="preserve"> </w:t>
      </w:r>
    </w:p>
    <w:p w14:paraId="12F16136" w14:textId="05DF0FCB" w:rsidR="008B29BA" w:rsidRPr="00F720B2" w:rsidRDefault="00B217EF" w:rsidP="00622847">
      <w:pPr>
        <w:spacing w:line="480" w:lineRule="auto"/>
        <w:ind w:firstLine="720"/>
      </w:pPr>
      <w:r>
        <w:t xml:space="preserve">CEOs </w:t>
      </w:r>
      <w:r w:rsidR="008A3832" w:rsidRPr="00080D5F">
        <w:t xml:space="preserve">and fund managers </w:t>
      </w:r>
      <w:r w:rsidR="00C46314">
        <w:t xml:space="preserve">saw </w:t>
      </w:r>
      <w:r w:rsidR="00222DD7">
        <w:t xml:space="preserve">derivatives </w:t>
      </w:r>
      <w:r w:rsidR="00C46314">
        <w:t xml:space="preserve">differently. </w:t>
      </w:r>
      <w:r w:rsidR="00A56D86">
        <w:t>New d</w:t>
      </w:r>
      <w:r w:rsidR="00BB3C96">
        <w:t xml:space="preserve">erivatives </w:t>
      </w:r>
      <w:r w:rsidR="008A3832">
        <w:t xml:space="preserve">such as credit-default swaps and synthetic CDOs </w:t>
      </w:r>
      <w:r w:rsidR="00C46314">
        <w:t xml:space="preserve">had </w:t>
      </w:r>
      <w:r>
        <w:t xml:space="preserve">also </w:t>
      </w:r>
      <w:r w:rsidR="00C46314">
        <w:t xml:space="preserve">gained attention for their capacity to </w:t>
      </w:r>
      <w:r w:rsidR="00BB3C96">
        <w:t>amplify</w:t>
      </w:r>
      <w:r w:rsidR="004D783C">
        <w:t xml:space="preserve"> exposure to </w:t>
      </w:r>
      <w:r w:rsidR="005C7B0C" w:rsidRPr="00D727CC">
        <w:t xml:space="preserve">high-risk, high-return </w:t>
      </w:r>
      <w:r w:rsidR="0017799E">
        <w:t xml:space="preserve">speculative </w:t>
      </w:r>
      <w:r w:rsidR="005C7B0C" w:rsidRPr="00D727CC">
        <w:t>investments.</w:t>
      </w:r>
      <w:r w:rsidR="004E4802">
        <w:t xml:space="preserve"> </w:t>
      </w:r>
      <w:r w:rsidR="00E4068A">
        <w:t>W</w:t>
      </w:r>
      <w:r w:rsidR="008A3832">
        <w:t>e argue that w</w:t>
      </w:r>
      <w:r w:rsidR="00B51C23">
        <w:t xml:space="preserve">hen influential groups were </w:t>
      </w:r>
      <w:r w:rsidR="00120E41">
        <w:t xml:space="preserve">motivated by </w:t>
      </w:r>
      <w:r w:rsidR="0098486D" w:rsidRPr="00F720B2">
        <w:t>short-term profit</w:t>
      </w:r>
      <w:r w:rsidR="00120E41">
        <w:t>s</w:t>
      </w:r>
      <w:r w:rsidR="00D65CA5" w:rsidRPr="00F720B2">
        <w:t xml:space="preserve">, </w:t>
      </w:r>
      <w:r w:rsidR="0085758C" w:rsidRPr="00F720B2">
        <w:t>as when</w:t>
      </w:r>
      <w:r w:rsidR="00F518CA" w:rsidRPr="00F720B2">
        <w:t xml:space="preserve"> </w:t>
      </w:r>
      <w:r w:rsidR="00421FDE">
        <w:t>CEOs</w:t>
      </w:r>
      <w:r w:rsidR="00F518CA" w:rsidRPr="00F720B2">
        <w:t xml:space="preserve"> </w:t>
      </w:r>
      <w:r w:rsidR="00793212">
        <w:t>we</w:t>
      </w:r>
      <w:r w:rsidR="00421FDE">
        <w:t xml:space="preserve">re loaded up with </w:t>
      </w:r>
      <w:r w:rsidR="00F518CA" w:rsidRPr="00F720B2">
        <w:t>performance pay,</w:t>
      </w:r>
      <w:r w:rsidR="00075B9E" w:rsidRPr="00F720B2">
        <w:t xml:space="preserve"> </w:t>
      </w:r>
      <w:r w:rsidR="00421FDE">
        <w:t>they favor</w:t>
      </w:r>
      <w:r w:rsidR="00120E41">
        <w:t>ed</w:t>
      </w:r>
      <w:r w:rsidR="00421FDE">
        <w:t xml:space="preserve"> </w:t>
      </w:r>
      <w:r w:rsidR="00120E41">
        <w:t xml:space="preserve">the new </w:t>
      </w:r>
      <w:r w:rsidR="004324C2" w:rsidRPr="00F720B2">
        <w:t>derivatives</w:t>
      </w:r>
      <w:r w:rsidR="00413FB7" w:rsidRPr="00F720B2">
        <w:t xml:space="preserve">. Conversely, when CEOs and </w:t>
      </w:r>
      <w:r w:rsidR="003801F7">
        <w:t xml:space="preserve">fund managers </w:t>
      </w:r>
      <w:r w:rsidR="00A213DA">
        <w:t>ha</w:t>
      </w:r>
      <w:r w:rsidR="00793212">
        <w:t>d</w:t>
      </w:r>
      <w:r w:rsidR="00F003F6">
        <w:t xml:space="preserve"> an interest in </w:t>
      </w:r>
      <w:r w:rsidR="00413FB7" w:rsidRPr="00F720B2">
        <w:t xml:space="preserve">restraining risk, </w:t>
      </w:r>
      <w:r w:rsidR="000D6A87" w:rsidRPr="00F720B2">
        <w:t xml:space="preserve">as when </w:t>
      </w:r>
      <w:r w:rsidR="00120E41">
        <w:t xml:space="preserve">they </w:t>
      </w:r>
      <w:r w:rsidR="000D6A87" w:rsidRPr="00F720B2">
        <w:t>h</w:t>
      </w:r>
      <w:r w:rsidR="00793212">
        <w:t>e</w:t>
      </w:r>
      <w:r w:rsidR="000D6A87" w:rsidRPr="00F720B2">
        <w:t>ld large, illiquid stakes</w:t>
      </w:r>
      <w:r w:rsidR="00A213DA">
        <w:t xml:space="preserve"> in bank</w:t>
      </w:r>
      <w:r w:rsidR="0053607C">
        <w:t>s</w:t>
      </w:r>
      <w:r w:rsidR="00421FDE">
        <w:t>,</w:t>
      </w:r>
      <w:r w:rsidR="000D6A87" w:rsidRPr="00F720B2">
        <w:t xml:space="preserve"> </w:t>
      </w:r>
      <w:r w:rsidR="00120E41">
        <w:t xml:space="preserve">they resisted </w:t>
      </w:r>
      <w:r w:rsidR="00B92E12">
        <w:t xml:space="preserve">expanding </w:t>
      </w:r>
      <w:r w:rsidR="00FF5DDA">
        <w:t xml:space="preserve">reliance on </w:t>
      </w:r>
      <w:r w:rsidR="00B92E12">
        <w:t>new</w:t>
      </w:r>
      <w:r w:rsidR="00421FDE">
        <w:t xml:space="preserve"> </w:t>
      </w:r>
      <w:r w:rsidR="00051392" w:rsidRPr="00F720B2">
        <w:t>derivatives</w:t>
      </w:r>
      <w:r w:rsidR="00413FB7" w:rsidRPr="00F720B2">
        <w:t>.</w:t>
      </w:r>
      <w:r w:rsidR="008A3832">
        <w:t xml:space="preserve">  </w:t>
      </w:r>
    </w:p>
    <w:p w14:paraId="597C585E" w14:textId="3CCC57E8" w:rsidR="00980C87" w:rsidRDefault="008B29BA" w:rsidP="00622847">
      <w:pPr>
        <w:spacing w:line="480" w:lineRule="auto"/>
        <w:ind w:firstLine="720"/>
      </w:pPr>
      <w:r w:rsidRPr="00F720B2">
        <w:lastRenderedPageBreak/>
        <w:t xml:space="preserve">Beyond offering a new perspective on the momentous rise in bank </w:t>
      </w:r>
      <w:r w:rsidR="00B07D9A">
        <w:t xml:space="preserve">derivatives holdings leading up to </w:t>
      </w:r>
      <w:r w:rsidRPr="00F720B2">
        <w:t xml:space="preserve">the credit crisis, </w:t>
      </w:r>
      <w:r w:rsidR="00551D99">
        <w:t>we</w:t>
      </w:r>
      <w:r w:rsidR="0053098E" w:rsidRPr="00F720B2">
        <w:t xml:space="preserve"> </w:t>
      </w:r>
      <w:r w:rsidR="00D94BF0">
        <w:t xml:space="preserve">also </w:t>
      </w:r>
      <w:r w:rsidR="00551D99">
        <w:t xml:space="preserve">contribute to </w:t>
      </w:r>
      <w:r w:rsidR="009367F0" w:rsidRPr="00F720B2">
        <w:t>institutional theory</w:t>
      </w:r>
      <w:r w:rsidR="00747E1D" w:rsidRPr="00F720B2">
        <w:t xml:space="preserve">. </w:t>
      </w:r>
      <w:r w:rsidR="00A36040" w:rsidRPr="00F720B2">
        <w:t>I</w:t>
      </w:r>
      <w:r w:rsidRPr="00F720B2">
        <w:t>nstitutionalists have focuse</w:t>
      </w:r>
      <w:r w:rsidR="00B07263" w:rsidRPr="00F720B2">
        <w:t>d on the expert</w:t>
      </w:r>
      <w:r w:rsidRPr="00F720B2">
        <w:t xml:space="preserve"> groups that take charge of compliance, </w:t>
      </w:r>
      <w:r w:rsidR="00551D99">
        <w:t xml:space="preserve">showing that experts </w:t>
      </w:r>
      <w:r w:rsidR="00963360">
        <w:t xml:space="preserve">often serve as internal champions for </w:t>
      </w:r>
      <w:r w:rsidR="00D46F08">
        <w:t xml:space="preserve">the </w:t>
      </w:r>
      <w:r w:rsidR="00963360">
        <w:t>external causes</w:t>
      </w:r>
      <w:r w:rsidR="00D46F08">
        <w:t xml:space="preserve"> new laws promote</w:t>
      </w:r>
      <w:r w:rsidRPr="00F720B2">
        <w:t xml:space="preserve"> </w:t>
      </w:r>
      <w:r w:rsidR="00567D65" w:rsidRPr="00F720B2">
        <w:t>(</w:t>
      </w:r>
      <w:r w:rsidR="00097193" w:rsidRPr="00F720B2">
        <w:t>Edelman</w:t>
      </w:r>
      <w:r w:rsidR="00551D99">
        <w:t xml:space="preserve"> 1990; 1992</w:t>
      </w:r>
      <w:r w:rsidR="00097193" w:rsidRPr="00F720B2">
        <w:t xml:space="preserve">; </w:t>
      </w:r>
      <w:r w:rsidR="00567D65" w:rsidRPr="00F720B2">
        <w:t>Dobbin and Kelly 2007</w:t>
      </w:r>
      <w:r w:rsidR="004134CA" w:rsidRPr="00F720B2">
        <w:t xml:space="preserve">; Dobbin </w:t>
      </w:r>
      <w:r w:rsidR="004134CA" w:rsidRPr="00384264">
        <w:t>2009</w:t>
      </w:r>
      <w:r w:rsidR="00567D65" w:rsidRPr="00384264">
        <w:t>)</w:t>
      </w:r>
      <w:r w:rsidR="00B07D9A">
        <w:t xml:space="preserve">. </w:t>
      </w:r>
      <w:r w:rsidR="00BE19DF">
        <w:t>But</w:t>
      </w:r>
      <w:r w:rsidR="00C14B71">
        <w:t xml:space="preserve"> we suggest that </w:t>
      </w:r>
      <w:r w:rsidR="00C14B71" w:rsidRPr="00EC31C1">
        <w:t xml:space="preserve">compliance experts </w:t>
      </w:r>
      <w:r w:rsidR="002112A3">
        <w:t xml:space="preserve">need not share the goals of lawmakers, and that when they do not, they </w:t>
      </w:r>
      <w:r w:rsidR="0061660A">
        <w:t xml:space="preserve">may champion reforms </w:t>
      </w:r>
      <w:r w:rsidR="00AA791F">
        <w:t xml:space="preserve">that are </w:t>
      </w:r>
      <w:r w:rsidR="0061660A">
        <w:t>orthogonal to regulatory intent</w:t>
      </w:r>
      <w:r w:rsidR="00CB038D" w:rsidRPr="00E80D51">
        <w:t xml:space="preserve">. </w:t>
      </w:r>
      <w:r w:rsidR="0061660A">
        <w:t>T</w:t>
      </w:r>
      <w:r w:rsidR="005C4953" w:rsidRPr="000F4475">
        <w:t xml:space="preserve">he pre-existing </w:t>
      </w:r>
      <w:r w:rsidR="00343136" w:rsidRPr="00E80D51">
        <w:t>agenda</w:t>
      </w:r>
      <w:r w:rsidR="005C4953" w:rsidRPr="00E80D51">
        <w:t xml:space="preserve"> of the expert group </w:t>
      </w:r>
      <w:r w:rsidR="0026428E" w:rsidRPr="00F722EE">
        <w:t xml:space="preserve">shapes </w:t>
      </w:r>
      <w:r w:rsidR="009D4645" w:rsidRPr="00F722EE">
        <w:t xml:space="preserve">the content and </w:t>
      </w:r>
      <w:r w:rsidR="00DE19C1">
        <w:t xml:space="preserve">the </w:t>
      </w:r>
      <w:r w:rsidR="009D4645" w:rsidRPr="00F722EE">
        <w:t xml:space="preserve">objectives of </w:t>
      </w:r>
      <w:r w:rsidR="00F722EE">
        <w:t>reform</w:t>
      </w:r>
      <w:r w:rsidR="0026428E" w:rsidRPr="00F722EE">
        <w:t>.</w:t>
      </w:r>
      <w:r w:rsidR="005C4953" w:rsidRPr="00F722EE">
        <w:t xml:space="preserve"> </w:t>
      </w:r>
      <w:r w:rsidR="005B673A" w:rsidRPr="00F722EE">
        <w:t>P</w:t>
      </w:r>
      <w:r w:rsidR="00205317" w:rsidRPr="00F722EE">
        <w:t xml:space="preserve">aying closer attention </w:t>
      </w:r>
      <w:r w:rsidR="00581E0E" w:rsidRPr="00F722EE">
        <w:t xml:space="preserve">to </w:t>
      </w:r>
      <w:r w:rsidR="0026428E" w:rsidRPr="00F722EE">
        <w:t xml:space="preserve">that </w:t>
      </w:r>
      <w:r w:rsidR="00205317" w:rsidRPr="00F722EE">
        <w:t xml:space="preserve">agenda, </w:t>
      </w:r>
      <w:r w:rsidR="00822EC7" w:rsidRPr="00F722EE">
        <w:t xml:space="preserve">we argue, </w:t>
      </w:r>
      <w:r w:rsidR="005B673A" w:rsidRPr="00F722EE">
        <w:t xml:space="preserve">allows us to </w:t>
      </w:r>
      <w:r w:rsidR="00AA791F" w:rsidRPr="00F722EE">
        <w:t xml:space="preserve">better </w:t>
      </w:r>
      <w:r w:rsidR="0026428E" w:rsidRPr="00F722EE">
        <w:t xml:space="preserve">predict compliance </w:t>
      </w:r>
      <w:r w:rsidR="00AA791F" w:rsidRPr="00F722EE">
        <w:t>strategies</w:t>
      </w:r>
      <w:r w:rsidR="00A315C7" w:rsidRPr="00F722EE">
        <w:t xml:space="preserve">. </w:t>
      </w:r>
      <w:r w:rsidR="0026428E" w:rsidRPr="00F722EE">
        <w:t>It also helps to explain cases of “</w:t>
      </w:r>
      <w:r w:rsidR="00205317" w:rsidRPr="00F722EE">
        <w:t>me</w:t>
      </w:r>
      <w:r w:rsidR="00205317" w:rsidRPr="00AA791F">
        <w:t>ans-ends decoupling</w:t>
      </w:r>
      <w:r w:rsidR="0026428E">
        <w:t>”</w:t>
      </w:r>
      <w:r w:rsidR="001C165B" w:rsidRPr="00077137">
        <w:t xml:space="preserve"> (Bromley and Powell 2012)</w:t>
      </w:r>
      <w:r w:rsidR="0026428E">
        <w:t xml:space="preserve">, in which organizations </w:t>
      </w:r>
      <w:r w:rsidR="00205317" w:rsidRPr="00077137">
        <w:t>fully implement</w:t>
      </w:r>
      <w:r w:rsidR="0026428E">
        <w:t xml:space="preserve"> </w:t>
      </w:r>
      <w:r w:rsidR="00205317" w:rsidRPr="00077137">
        <w:t xml:space="preserve">policies </w:t>
      </w:r>
      <w:r w:rsidR="0026428E">
        <w:t xml:space="preserve">that are </w:t>
      </w:r>
      <w:r w:rsidR="00EE652B" w:rsidRPr="00077137">
        <w:t xml:space="preserve">only loosely </w:t>
      </w:r>
      <w:r w:rsidR="0026428E">
        <w:t xml:space="preserve">connected to stated goals.  </w:t>
      </w:r>
    </w:p>
    <w:p w14:paraId="512B0C70" w14:textId="42B20643" w:rsidR="008B29BA" w:rsidRPr="003B65D7" w:rsidRDefault="002C3D0C" w:rsidP="00622847">
      <w:pPr>
        <w:spacing w:line="480" w:lineRule="auto"/>
        <w:ind w:firstLine="720"/>
      </w:pPr>
      <w:r>
        <w:t xml:space="preserve">Institutionalists have also </w:t>
      </w:r>
      <w:r w:rsidR="00992C17" w:rsidRPr="00384264">
        <w:t xml:space="preserve">neglected </w:t>
      </w:r>
      <w:r w:rsidR="00384264" w:rsidRPr="00384264">
        <w:t xml:space="preserve">how </w:t>
      </w:r>
      <w:r w:rsidR="002112A3">
        <w:t xml:space="preserve">the interests of </w:t>
      </w:r>
      <w:r w:rsidR="00CD0BDE" w:rsidRPr="00384264">
        <w:t xml:space="preserve">other powerful </w:t>
      </w:r>
      <w:r w:rsidR="004577E3" w:rsidRPr="00384264">
        <w:t>groups</w:t>
      </w:r>
      <w:r w:rsidR="00CD0BDE" w:rsidRPr="00384264">
        <w:t xml:space="preserve"> </w:t>
      </w:r>
      <w:r w:rsidR="00384264" w:rsidRPr="00384264">
        <w:t xml:space="preserve">shape </w:t>
      </w:r>
      <w:r w:rsidR="00920AA8" w:rsidRPr="00384264">
        <w:t xml:space="preserve">the </w:t>
      </w:r>
      <w:r w:rsidR="00CD0BDE" w:rsidRPr="00384264">
        <w:t xml:space="preserve">success of </w:t>
      </w:r>
      <w:r w:rsidR="002112A3">
        <w:t xml:space="preserve">expert-led reforms </w:t>
      </w:r>
      <w:r w:rsidR="007A4741">
        <w:t>(but see Kellogg 2009; Dobbin, Kim, and Kalev 2011)</w:t>
      </w:r>
      <w:r w:rsidR="004577E3" w:rsidRPr="00384264">
        <w:t>. We</w:t>
      </w:r>
      <w:r w:rsidR="004577E3" w:rsidRPr="00F720B2">
        <w:t xml:space="preserve"> </w:t>
      </w:r>
      <w:r w:rsidR="00551D99">
        <w:t>highlight the power of</w:t>
      </w:r>
      <w:r w:rsidR="004C2E4B">
        <w:t xml:space="preserve"> CEOs and fund managers</w:t>
      </w:r>
      <w:r w:rsidR="008B1B54">
        <w:t>,</w:t>
      </w:r>
      <w:r w:rsidR="00551D99">
        <w:t xml:space="preserve"> </w:t>
      </w:r>
      <w:r w:rsidR="00701B76">
        <w:t>suggesting that w</w:t>
      </w:r>
      <w:r w:rsidR="008A6CDF" w:rsidRPr="00F720B2">
        <w:t xml:space="preserve">hen </w:t>
      </w:r>
      <w:r w:rsidR="008B1B54">
        <w:t xml:space="preserve">reforms </w:t>
      </w:r>
      <w:r w:rsidR="006A6443">
        <w:t xml:space="preserve">align with </w:t>
      </w:r>
      <w:r w:rsidR="008B1B54">
        <w:t xml:space="preserve">group </w:t>
      </w:r>
      <w:r w:rsidR="006A6443">
        <w:t xml:space="preserve">interests, </w:t>
      </w:r>
      <w:r w:rsidR="008B1B54">
        <w:t xml:space="preserve">firms </w:t>
      </w:r>
      <w:r w:rsidR="006A6443">
        <w:t xml:space="preserve">are more likely </w:t>
      </w:r>
      <w:r w:rsidR="008B1B54">
        <w:t>take them up</w:t>
      </w:r>
      <w:r w:rsidR="00B07D9A">
        <w:t xml:space="preserve">. </w:t>
      </w:r>
      <w:r w:rsidR="006A6443" w:rsidRPr="003B65D7">
        <w:t xml:space="preserve">Our theory </w:t>
      </w:r>
      <w:r w:rsidR="002C1BD7" w:rsidRPr="003B65D7">
        <w:t>help</w:t>
      </w:r>
      <w:r w:rsidR="005E20FA" w:rsidRPr="003B65D7">
        <w:t>s</w:t>
      </w:r>
      <w:r w:rsidR="00E37F27" w:rsidRPr="003B65D7">
        <w:t xml:space="preserve"> </w:t>
      </w:r>
      <w:r w:rsidR="00904E10" w:rsidRPr="003B65D7">
        <w:t xml:space="preserve">to </w:t>
      </w:r>
      <w:r w:rsidR="00595D43" w:rsidRPr="003B65D7">
        <w:t xml:space="preserve">explain why compliance </w:t>
      </w:r>
      <w:r w:rsidR="004B79C6">
        <w:t xml:space="preserve">can vary </w:t>
      </w:r>
      <w:r w:rsidR="006A6443" w:rsidRPr="003B65D7">
        <w:t xml:space="preserve">markedly </w:t>
      </w:r>
      <w:r w:rsidR="00595D43" w:rsidRPr="003B65D7">
        <w:t>across organizations</w:t>
      </w:r>
      <w:r w:rsidR="002C1BD7" w:rsidRPr="003B65D7">
        <w:t xml:space="preserve"> </w:t>
      </w:r>
      <w:r w:rsidR="004B79C6">
        <w:t xml:space="preserve">that put seemingly identical experts in charge, but have </w:t>
      </w:r>
      <w:r w:rsidR="002C1BD7" w:rsidRPr="003B65D7">
        <w:t xml:space="preserve">different </w:t>
      </w:r>
      <w:r w:rsidR="00F00700" w:rsidRPr="003B65D7">
        <w:t>ownership</w:t>
      </w:r>
      <w:r w:rsidR="002C1BD7" w:rsidRPr="003B65D7">
        <w:t xml:space="preserve"> and compensation</w:t>
      </w:r>
      <w:r w:rsidR="00BB2A13" w:rsidRPr="003B65D7">
        <w:t xml:space="preserve"> arrangements</w:t>
      </w:r>
      <w:r w:rsidR="006A6443" w:rsidRPr="003B65D7">
        <w:t xml:space="preserve">. </w:t>
      </w:r>
    </w:p>
    <w:p w14:paraId="4227DE53" w14:textId="71A2BCBD" w:rsidR="00A550E9" w:rsidRDefault="008B29BA" w:rsidP="00622847">
      <w:pPr>
        <w:spacing w:line="480" w:lineRule="auto"/>
        <w:ind w:firstLine="720"/>
      </w:pPr>
      <w:r w:rsidRPr="003B65D7">
        <w:t>We proceed in four stages. First, we explain how the</w:t>
      </w:r>
      <w:r w:rsidRPr="00F720B2">
        <w:t xml:space="preserve"> introduction of </w:t>
      </w:r>
      <w:r w:rsidR="00B600DE">
        <w:t xml:space="preserve">regulations designed to temper risk-taking </w:t>
      </w:r>
      <w:r w:rsidRPr="00F720B2">
        <w:t xml:space="preserve">contributed to the spread of chief risk officer positions among large </w:t>
      </w:r>
      <w:r w:rsidR="0000472E">
        <w:t xml:space="preserve">U.S. </w:t>
      </w:r>
      <w:r w:rsidRPr="00F720B2">
        <w:t>commercial banks. Second</w:t>
      </w:r>
      <w:r w:rsidRPr="00F44A7F">
        <w:t xml:space="preserve">, we develop theory </w:t>
      </w:r>
      <w:r>
        <w:t>to explain how the</w:t>
      </w:r>
      <w:r w:rsidRPr="00F44A7F">
        <w:t xml:space="preserve"> </w:t>
      </w:r>
      <w:r>
        <w:t xml:space="preserve">power and </w:t>
      </w:r>
      <w:r w:rsidRPr="00F44A7F">
        <w:t xml:space="preserve">interests of </w:t>
      </w:r>
      <w:r>
        <w:t>different groups</w:t>
      </w:r>
      <w:r w:rsidRPr="00F44A7F">
        <w:t xml:space="preserve"> </w:t>
      </w:r>
      <w:r w:rsidR="00F63642">
        <w:t xml:space="preserve">shape the success of </w:t>
      </w:r>
      <w:r>
        <w:t>compliance strategies advanced by</w:t>
      </w:r>
      <w:r w:rsidR="00CD5F3E">
        <w:t xml:space="preserve"> expert groups</w:t>
      </w:r>
      <w:r>
        <w:t xml:space="preserve">. </w:t>
      </w:r>
      <w:r w:rsidRPr="00F44A7F">
        <w:t xml:space="preserve">Third, after discussing our sample and methods, we model the creation of chief risk officer positions among 157 large, </w:t>
      </w:r>
      <w:proofErr w:type="gramStart"/>
      <w:r w:rsidRPr="00F44A7F">
        <w:t>publicly-traded</w:t>
      </w:r>
      <w:proofErr w:type="gramEnd"/>
      <w:r w:rsidRPr="00F44A7F">
        <w:t xml:space="preserve"> commercial </w:t>
      </w:r>
      <w:r w:rsidRPr="00B2455C">
        <w:t>banks</w:t>
      </w:r>
      <w:r w:rsidR="00870E5B" w:rsidRPr="00B2455C">
        <w:t xml:space="preserve">, many of which transitioned into investment </w:t>
      </w:r>
      <w:r w:rsidR="00870E5B" w:rsidRPr="00B2455C">
        <w:lastRenderedPageBreak/>
        <w:t>banking activity in this period</w:t>
      </w:r>
      <w:r w:rsidRPr="00B2455C">
        <w:t>. Fourth, we use Heckman sample selection</w:t>
      </w:r>
      <w:r w:rsidRPr="00820019">
        <w:t xml:space="preserve"> models to investigate how </w:t>
      </w:r>
      <w:r w:rsidR="001C123E" w:rsidRPr="00820019">
        <w:t xml:space="preserve">CROs, </w:t>
      </w:r>
      <w:r w:rsidRPr="00820019">
        <w:t>CEOs</w:t>
      </w:r>
      <w:r w:rsidR="001C123E" w:rsidRPr="00820019">
        <w:t>,</w:t>
      </w:r>
      <w:r w:rsidRPr="00820019">
        <w:t xml:space="preserve"> and fund managers </w:t>
      </w:r>
      <w:r w:rsidR="001C123E" w:rsidRPr="00820019">
        <w:t xml:space="preserve">influenced the spread of different types </w:t>
      </w:r>
      <w:r w:rsidR="003801F7" w:rsidRPr="00820019">
        <w:t xml:space="preserve">of </w:t>
      </w:r>
      <w:r w:rsidR="00A87982" w:rsidRPr="00820019">
        <w:t>derivatives</w:t>
      </w:r>
      <w:r w:rsidR="00366292" w:rsidRPr="00820019">
        <w:t xml:space="preserve"> between 1995 and 2010.</w:t>
      </w:r>
      <w:r w:rsidRPr="00820019">
        <w:t xml:space="preserve"> To assess model robustness we introduce instrumental variables for the derivatives analyses</w:t>
      </w:r>
      <w:r w:rsidR="0003084D" w:rsidRPr="00820019">
        <w:t>.</w:t>
      </w:r>
      <w:r w:rsidR="001A051A" w:rsidRPr="00820019">
        <w:t xml:space="preserve"> </w:t>
      </w:r>
      <w:r w:rsidR="003F2341" w:rsidRPr="00820019">
        <w:t xml:space="preserve">We also examine the </w:t>
      </w:r>
      <w:r w:rsidR="00A127D8" w:rsidRPr="00820019">
        <w:t xml:space="preserve">possibility that only </w:t>
      </w:r>
      <w:r w:rsidR="003F2341" w:rsidRPr="00820019">
        <w:t>banks deemed too big to fail</w:t>
      </w:r>
      <w:r w:rsidR="00A127D8" w:rsidRPr="00820019">
        <w:t xml:space="preserve"> took outsize risks</w:t>
      </w:r>
      <w:r w:rsidR="001A051A" w:rsidRPr="00820019">
        <w:t xml:space="preserve"> with derivatives</w:t>
      </w:r>
      <w:r w:rsidR="00A127D8" w:rsidRPr="00820019">
        <w:t>, confident that they would be rescued.</w:t>
      </w:r>
      <w:r w:rsidR="00A127D8">
        <w:t xml:space="preserve"> </w:t>
      </w:r>
    </w:p>
    <w:p w14:paraId="5C625A37" w14:textId="0E88DBD7" w:rsidR="008646F1" w:rsidRDefault="008B29BA" w:rsidP="00622847">
      <w:pPr>
        <w:spacing w:line="480" w:lineRule="auto"/>
        <w:ind w:firstLine="720"/>
      </w:pPr>
      <w:r>
        <w:t xml:space="preserve">  </w:t>
      </w:r>
    </w:p>
    <w:p w14:paraId="7FCBFEDA" w14:textId="28333A53" w:rsidR="002F10DC" w:rsidRPr="00E31E9C" w:rsidRDefault="008646F1" w:rsidP="00622847">
      <w:pPr>
        <w:spacing w:line="480" w:lineRule="auto"/>
        <w:rPr>
          <w:b/>
        </w:rPr>
      </w:pPr>
      <w:r w:rsidRPr="00E31E9C">
        <w:rPr>
          <w:b/>
        </w:rPr>
        <w:t xml:space="preserve">ORGANIZATIONAL RESPONSE TO LEGAL </w:t>
      </w:r>
      <w:r>
        <w:rPr>
          <w:b/>
        </w:rPr>
        <w:t xml:space="preserve">AND REGULATORY </w:t>
      </w:r>
      <w:r w:rsidRPr="00E31E9C">
        <w:rPr>
          <w:b/>
        </w:rPr>
        <w:t>CHANGE</w:t>
      </w:r>
    </w:p>
    <w:p w14:paraId="0C5391B9" w14:textId="65C86FCF" w:rsidR="00DA7808" w:rsidRPr="00F720B2" w:rsidRDefault="008D7D73" w:rsidP="00622847">
      <w:pPr>
        <w:spacing w:line="480" w:lineRule="auto"/>
        <w:ind w:firstLine="720"/>
        <w:rPr>
          <w:rFonts w:eastAsia="Times New Roman"/>
          <w:color w:val="000000"/>
        </w:rPr>
      </w:pPr>
      <w:r>
        <w:t>Rules</w:t>
      </w:r>
      <w:r w:rsidR="003A709E" w:rsidRPr="00F720B2">
        <w:t xml:space="preserve"> </w:t>
      </w:r>
      <w:r w:rsidR="00FA6455" w:rsidRPr="00F720B2">
        <w:t xml:space="preserve">governing </w:t>
      </w:r>
      <w:r>
        <w:t xml:space="preserve">bank </w:t>
      </w:r>
      <w:r w:rsidR="008646F1" w:rsidRPr="00F720B2">
        <w:t xml:space="preserve">risk management </w:t>
      </w:r>
      <w:r w:rsidR="00D502F2" w:rsidRPr="00F720B2">
        <w:t>and disclosure</w:t>
      </w:r>
      <w:r w:rsidR="003A709E" w:rsidRPr="00F720B2">
        <w:t xml:space="preserve"> </w:t>
      </w:r>
      <w:r w:rsidR="008646F1" w:rsidRPr="00F720B2">
        <w:t xml:space="preserve">changed dramatically </w:t>
      </w:r>
      <w:r>
        <w:t xml:space="preserve">after 2000, </w:t>
      </w:r>
      <w:r w:rsidR="007E5665">
        <w:t>stimulating banks to pay greater attention to risk</w:t>
      </w:r>
      <w:r w:rsidR="008646F1" w:rsidRPr="00F720B2">
        <w:t>.</w:t>
      </w:r>
      <w:r w:rsidR="009F1DB8" w:rsidRPr="00F720B2">
        <w:t xml:space="preserve"> </w:t>
      </w:r>
      <w:r w:rsidR="00155E3D" w:rsidRPr="00F720B2">
        <w:t>In 1999, t</w:t>
      </w:r>
      <w:r w:rsidR="00FA6455" w:rsidRPr="00F720B2">
        <w:t xml:space="preserve">he </w:t>
      </w:r>
      <w:r w:rsidR="00155E3D" w:rsidRPr="00F720B2">
        <w:rPr>
          <w:rFonts w:eastAsia="Times New Roman"/>
          <w:color w:val="000000"/>
        </w:rPr>
        <w:t xml:space="preserve">Gramm-Leach-Bliley Act </w:t>
      </w:r>
      <w:r w:rsidR="004A36D9" w:rsidRPr="00F720B2">
        <w:rPr>
          <w:rFonts w:eastAsia="Times New Roman"/>
          <w:color w:val="000000"/>
        </w:rPr>
        <w:t xml:space="preserve">allowed </w:t>
      </w:r>
      <w:r w:rsidR="00FA6455" w:rsidRPr="00F720B2">
        <w:rPr>
          <w:rFonts w:eastAsia="Times New Roman"/>
          <w:color w:val="000000"/>
        </w:rPr>
        <w:t xml:space="preserve">commercial </w:t>
      </w:r>
      <w:r w:rsidR="004A36D9" w:rsidRPr="00F720B2">
        <w:rPr>
          <w:rFonts w:eastAsia="Times New Roman"/>
          <w:color w:val="000000"/>
        </w:rPr>
        <w:t xml:space="preserve">banks to enter new product </w:t>
      </w:r>
      <w:r w:rsidR="004A36D9">
        <w:rPr>
          <w:rFonts w:eastAsia="Times New Roman"/>
          <w:color w:val="000000"/>
        </w:rPr>
        <w:t>areas</w:t>
      </w:r>
      <w:r w:rsidR="00FA6455">
        <w:rPr>
          <w:rFonts w:eastAsia="Times New Roman"/>
          <w:color w:val="000000"/>
        </w:rPr>
        <w:t>, like securities underwriting</w:t>
      </w:r>
      <w:r w:rsidR="00155E3D">
        <w:rPr>
          <w:rFonts w:eastAsia="Times New Roman"/>
          <w:color w:val="000000"/>
        </w:rPr>
        <w:t>, but</w:t>
      </w:r>
      <w:r w:rsidR="00DA7808">
        <w:rPr>
          <w:rFonts w:eastAsia="Times New Roman"/>
          <w:color w:val="000000"/>
        </w:rPr>
        <w:t xml:space="preserve"> </w:t>
      </w:r>
      <w:r w:rsidR="00493E85">
        <w:rPr>
          <w:rFonts w:eastAsia="Times New Roman"/>
          <w:color w:val="000000"/>
        </w:rPr>
        <w:t xml:space="preserve">also </w:t>
      </w:r>
      <w:r w:rsidR="001A235E">
        <w:rPr>
          <w:rFonts w:eastAsia="Times New Roman"/>
          <w:color w:val="000000"/>
        </w:rPr>
        <w:t xml:space="preserve">imposed new </w:t>
      </w:r>
      <w:r w:rsidR="006A000B">
        <w:rPr>
          <w:rFonts w:eastAsia="Times New Roman"/>
          <w:color w:val="000000"/>
        </w:rPr>
        <w:t xml:space="preserve">policies to protect the </w:t>
      </w:r>
      <w:r w:rsidR="00FA6455">
        <w:rPr>
          <w:rFonts w:eastAsia="Times New Roman"/>
          <w:color w:val="000000"/>
        </w:rPr>
        <w:t>security</w:t>
      </w:r>
      <w:r w:rsidR="006A000B">
        <w:rPr>
          <w:rFonts w:eastAsia="Times New Roman"/>
          <w:color w:val="000000"/>
        </w:rPr>
        <w:t xml:space="preserve"> of customer information</w:t>
      </w:r>
      <w:r w:rsidR="00FA6455">
        <w:rPr>
          <w:rFonts w:eastAsia="Times New Roman"/>
          <w:color w:val="000000"/>
        </w:rPr>
        <w:t xml:space="preserve"> </w:t>
      </w:r>
      <w:r w:rsidR="004A36D9">
        <w:rPr>
          <w:rFonts w:eastAsia="Times New Roman"/>
          <w:color w:val="000000"/>
        </w:rPr>
        <w:t xml:space="preserve">(Federal Trade Commission 2002). </w:t>
      </w:r>
      <w:r w:rsidR="009A0C0E">
        <w:rPr>
          <w:rFonts w:eastAsia="Times New Roman"/>
          <w:color w:val="000000"/>
        </w:rPr>
        <w:t>T</w:t>
      </w:r>
      <w:r w:rsidR="00D114AD">
        <w:rPr>
          <w:rFonts w:eastAsia="Times New Roman"/>
          <w:color w:val="000000"/>
        </w:rPr>
        <w:t>he</w:t>
      </w:r>
      <w:r w:rsidR="004A36D9">
        <w:rPr>
          <w:rFonts w:eastAsia="Times New Roman"/>
          <w:color w:val="000000"/>
        </w:rPr>
        <w:t xml:space="preserve"> </w:t>
      </w:r>
      <w:r w:rsidR="004A36D9" w:rsidRPr="00A62C0A">
        <w:rPr>
          <w:rFonts w:eastAsia="Times New Roman"/>
          <w:color w:val="000000"/>
        </w:rPr>
        <w:t xml:space="preserve">Patriot Act </w:t>
      </w:r>
      <w:r w:rsidR="004A36D9">
        <w:rPr>
          <w:rFonts w:eastAsia="Times New Roman"/>
          <w:color w:val="000000"/>
        </w:rPr>
        <w:t xml:space="preserve">of 2001 </w:t>
      </w:r>
      <w:r w:rsidR="009A0C0E">
        <w:rPr>
          <w:rFonts w:eastAsia="Times New Roman"/>
          <w:color w:val="000000"/>
        </w:rPr>
        <w:t>established</w:t>
      </w:r>
      <w:r w:rsidR="004A36D9" w:rsidRPr="00A62C0A">
        <w:rPr>
          <w:rFonts w:eastAsia="Times New Roman"/>
          <w:color w:val="000000"/>
        </w:rPr>
        <w:t xml:space="preserve"> new </w:t>
      </w:r>
      <w:r w:rsidR="00DA7808">
        <w:rPr>
          <w:rFonts w:eastAsia="Times New Roman"/>
          <w:color w:val="000000"/>
        </w:rPr>
        <w:t xml:space="preserve">bank </w:t>
      </w:r>
      <w:r w:rsidR="004A36D9">
        <w:rPr>
          <w:rFonts w:eastAsia="Times New Roman"/>
          <w:color w:val="000000"/>
        </w:rPr>
        <w:t>reporting requirements to</w:t>
      </w:r>
      <w:r w:rsidR="004A36D9" w:rsidRPr="00A62C0A">
        <w:rPr>
          <w:rFonts w:eastAsia="Times New Roman"/>
          <w:color w:val="000000"/>
        </w:rPr>
        <w:t xml:space="preserve"> </w:t>
      </w:r>
      <w:r>
        <w:rPr>
          <w:rFonts w:eastAsia="Times New Roman"/>
          <w:color w:val="000000"/>
        </w:rPr>
        <w:t xml:space="preserve">prevent </w:t>
      </w:r>
      <w:r w:rsidR="004A36D9" w:rsidRPr="00A62C0A">
        <w:rPr>
          <w:rFonts w:eastAsia="Times New Roman"/>
          <w:color w:val="000000"/>
        </w:rPr>
        <w:t>money laundering</w:t>
      </w:r>
      <w:r>
        <w:rPr>
          <w:rFonts w:eastAsia="Times New Roman"/>
          <w:color w:val="000000"/>
        </w:rPr>
        <w:t xml:space="preserve"> by </w:t>
      </w:r>
      <w:r w:rsidR="004A36D9" w:rsidRPr="00A62C0A">
        <w:rPr>
          <w:rFonts w:eastAsia="Times New Roman"/>
          <w:color w:val="000000"/>
        </w:rPr>
        <w:t>terrorist</w:t>
      </w:r>
      <w:r>
        <w:rPr>
          <w:rFonts w:eastAsia="Times New Roman"/>
          <w:color w:val="000000"/>
        </w:rPr>
        <w:t>s</w:t>
      </w:r>
      <w:r w:rsidR="004A36D9">
        <w:rPr>
          <w:rFonts w:eastAsia="Times New Roman"/>
          <w:color w:val="000000"/>
        </w:rPr>
        <w:t xml:space="preserve">. </w:t>
      </w:r>
      <w:r w:rsidR="009A0C0E">
        <w:rPr>
          <w:rFonts w:eastAsia="Times New Roman"/>
          <w:color w:val="000000"/>
        </w:rPr>
        <w:t>Then,</w:t>
      </w:r>
      <w:r>
        <w:rPr>
          <w:rFonts w:eastAsia="Times New Roman"/>
          <w:color w:val="000000"/>
        </w:rPr>
        <w:t xml:space="preserve"> i</w:t>
      </w:r>
      <w:r w:rsidR="00E2358E" w:rsidRPr="00011D40">
        <w:t>n 2002</w:t>
      </w:r>
      <w:r>
        <w:t>, in response to accounting scandals</w:t>
      </w:r>
      <w:r w:rsidR="009A0C0E">
        <w:t xml:space="preserve"> at Enron and other major corporations</w:t>
      </w:r>
      <w:r w:rsidR="00E2358E" w:rsidRPr="00011D40">
        <w:t xml:space="preserve">, </w:t>
      </w:r>
      <w:r w:rsidR="00D502F2" w:rsidRPr="00011D40">
        <w:t xml:space="preserve">Congress </w:t>
      </w:r>
      <w:r>
        <w:t xml:space="preserve">adopted </w:t>
      </w:r>
      <w:r w:rsidR="00155E3D" w:rsidRPr="00011D40">
        <w:t xml:space="preserve">the </w:t>
      </w:r>
      <w:r w:rsidR="00051151" w:rsidRPr="00011D40">
        <w:t>most far-ranging overhaul of corporate governance regulation since the Great Depression</w:t>
      </w:r>
      <w:r w:rsidR="00DF5826">
        <w:t xml:space="preserve">. </w:t>
      </w:r>
      <w:r>
        <w:t>T</w:t>
      </w:r>
      <w:r w:rsidR="00051151" w:rsidRPr="00011D40">
        <w:t xml:space="preserve">he Sarbanes-Oxley Act </w:t>
      </w:r>
      <w:r w:rsidR="00D502F2" w:rsidRPr="00011D40">
        <w:t xml:space="preserve">of 2002 </w:t>
      </w:r>
      <w:r w:rsidR="00905A97">
        <w:t>(SOX)</w:t>
      </w:r>
      <w:r>
        <w:t xml:space="preserve"> </w:t>
      </w:r>
      <w:r w:rsidR="001A235E">
        <w:t>expanded</w:t>
      </w:r>
      <w:r w:rsidR="00051151" w:rsidRPr="00011D40">
        <w:t xml:space="preserve"> corporate</w:t>
      </w:r>
      <w:r w:rsidR="00051151" w:rsidRPr="00F44682">
        <w:t xml:space="preserve"> </w:t>
      </w:r>
      <w:r>
        <w:t xml:space="preserve">financial </w:t>
      </w:r>
      <w:r w:rsidR="00051151" w:rsidRPr="00F44682">
        <w:t>disclosure</w:t>
      </w:r>
      <w:r w:rsidR="001A235E">
        <w:t xml:space="preserve"> requirement</w:t>
      </w:r>
      <w:r>
        <w:t>s</w:t>
      </w:r>
      <w:r w:rsidR="00051151" w:rsidRPr="00F44682">
        <w:t xml:space="preserve"> to </w:t>
      </w:r>
      <w:r w:rsidR="00DB69F1">
        <w:t>fight</w:t>
      </w:r>
      <w:r w:rsidRPr="00F44682">
        <w:t xml:space="preserve"> </w:t>
      </w:r>
      <w:r w:rsidR="00051151" w:rsidRPr="00F44682">
        <w:t xml:space="preserve">malfeasance, </w:t>
      </w:r>
      <w:r w:rsidR="008E1F99">
        <w:t>moderate</w:t>
      </w:r>
      <w:r w:rsidRPr="00F44682">
        <w:t xml:space="preserve"> </w:t>
      </w:r>
      <w:r w:rsidR="00051151" w:rsidRPr="00F44682">
        <w:t xml:space="preserve">risk-taking, and </w:t>
      </w:r>
      <w:r w:rsidR="008E1F99">
        <w:t xml:space="preserve">stem </w:t>
      </w:r>
      <w:r w:rsidR="00051151" w:rsidRPr="00F44682">
        <w:t>accounting fraud</w:t>
      </w:r>
      <w:r w:rsidR="00905A97">
        <w:t>. SOX</w:t>
      </w:r>
      <w:r w:rsidR="00DB69F1">
        <w:t xml:space="preserve"> put responsibility for managing risk exposure on bank executives, and mandated </w:t>
      </w:r>
      <w:r w:rsidR="00DF5826">
        <w:t xml:space="preserve">greater </w:t>
      </w:r>
      <w:r w:rsidR="00DB69F1">
        <w:t xml:space="preserve">financial transparency </w:t>
      </w:r>
      <w:r w:rsidR="00051151" w:rsidRPr="00F44682">
        <w:t xml:space="preserve">(Sarbanes-Oxley Act 2002). </w:t>
      </w:r>
      <w:r w:rsidR="00A20942">
        <w:t xml:space="preserve">Next, </w:t>
      </w:r>
      <w:r w:rsidR="00290E83">
        <w:t>i</w:t>
      </w:r>
      <w:r w:rsidR="00496489" w:rsidRPr="00F720B2">
        <w:t xml:space="preserve">n </w:t>
      </w:r>
      <w:r w:rsidR="00252443" w:rsidRPr="00F720B2">
        <w:t xml:space="preserve">2004, </w:t>
      </w:r>
      <w:r w:rsidR="003620D8">
        <w:t>the Basel Committee</w:t>
      </w:r>
      <w:r w:rsidR="008E1F99">
        <w:t xml:space="preserve">, which sets regulatory standards for </w:t>
      </w:r>
      <w:r w:rsidR="003620D8">
        <w:t>international</w:t>
      </w:r>
      <w:r w:rsidR="003C7A5A">
        <w:t>ly active</w:t>
      </w:r>
      <w:r w:rsidR="003620D8">
        <w:t xml:space="preserve"> banks</w:t>
      </w:r>
      <w:r w:rsidR="008E1F99" w:rsidRPr="00A20942">
        <w:t>,</w:t>
      </w:r>
      <w:r w:rsidR="007E5665">
        <w:t xml:space="preserve"> </w:t>
      </w:r>
      <w:r w:rsidR="00E27005" w:rsidRPr="00F720B2">
        <w:t xml:space="preserve">issued new </w:t>
      </w:r>
      <w:r w:rsidR="00CB194F" w:rsidRPr="00F720B2">
        <w:t>capital</w:t>
      </w:r>
      <w:r w:rsidR="00AA202C">
        <w:t>-</w:t>
      </w:r>
      <w:r w:rsidR="00CB194F" w:rsidRPr="00F720B2">
        <w:t xml:space="preserve">adequacy </w:t>
      </w:r>
      <w:r w:rsidR="00AA202C">
        <w:t xml:space="preserve">and reporting </w:t>
      </w:r>
      <w:r w:rsidR="00CB194F" w:rsidRPr="00F720B2">
        <w:t>guidelines</w:t>
      </w:r>
      <w:r w:rsidR="003620D8">
        <w:t xml:space="preserve"> (Basel</w:t>
      </w:r>
      <w:r w:rsidR="00AE4368">
        <w:t xml:space="preserve"> Committee on Banking Supervision 2004</w:t>
      </w:r>
      <w:r w:rsidR="003620D8">
        <w:t>)</w:t>
      </w:r>
      <w:r w:rsidR="00DA7808" w:rsidRPr="00F720B2">
        <w:t>.</w:t>
      </w:r>
      <w:r w:rsidR="002627F9" w:rsidRPr="00F720B2">
        <w:rPr>
          <w:rFonts w:eastAsia="Times New Roman"/>
          <w:color w:val="000000"/>
        </w:rPr>
        <w:t xml:space="preserve"> </w:t>
      </w:r>
      <w:r w:rsidR="00D114AD">
        <w:rPr>
          <w:rFonts w:eastAsia="Times New Roman"/>
          <w:color w:val="000000"/>
        </w:rPr>
        <w:t xml:space="preserve"> </w:t>
      </w:r>
    </w:p>
    <w:p w14:paraId="55226F45" w14:textId="7AC50416" w:rsidR="00413C4F" w:rsidRDefault="0018740B" w:rsidP="00622847">
      <w:pPr>
        <w:spacing w:line="480" w:lineRule="auto"/>
        <w:ind w:firstLine="720"/>
        <w:rPr>
          <w:rFonts w:eastAsia="Times New Roman"/>
          <w:color w:val="000000"/>
        </w:rPr>
      </w:pPr>
      <w:r>
        <w:t>The regulations imposed new responsibilities and new penalties on bank executives</w:t>
      </w:r>
      <w:r w:rsidR="00901962">
        <w:t xml:space="preserve"> </w:t>
      </w:r>
      <w:r>
        <w:t xml:space="preserve">without specifying precise compliance standards. </w:t>
      </w:r>
      <w:r w:rsidR="004C1BAE" w:rsidRPr="00001D96">
        <w:t xml:space="preserve">Section 404 of SOX required </w:t>
      </w:r>
      <w:r w:rsidR="0053252A">
        <w:t xml:space="preserve">executives </w:t>
      </w:r>
      <w:r w:rsidR="004C1BAE" w:rsidRPr="00001D96">
        <w:t xml:space="preserve">to attest to the </w:t>
      </w:r>
      <w:r w:rsidR="0053252A">
        <w:t xml:space="preserve">efficacy of their </w:t>
      </w:r>
      <w:r w:rsidR="004C1BAE" w:rsidRPr="00001D96">
        <w:t xml:space="preserve">internal </w:t>
      </w:r>
      <w:r w:rsidR="0053252A">
        <w:t xml:space="preserve">risk-control </w:t>
      </w:r>
      <w:r w:rsidR="004C1BAE" w:rsidRPr="00001D96">
        <w:t xml:space="preserve">structures and to establish </w:t>
      </w:r>
      <w:r w:rsidR="0053252A">
        <w:t xml:space="preserve">financial reporting </w:t>
      </w:r>
      <w:r w:rsidR="004C1BAE" w:rsidRPr="00001D96">
        <w:lastRenderedPageBreak/>
        <w:t xml:space="preserve">procedures </w:t>
      </w:r>
      <w:r w:rsidR="0053252A">
        <w:t xml:space="preserve">to </w:t>
      </w:r>
      <w:r w:rsidR="004C1BAE" w:rsidRPr="00001D96">
        <w:t xml:space="preserve">prevent </w:t>
      </w:r>
      <w:r w:rsidR="00BF4E1A">
        <w:t>fraud; however, i</w:t>
      </w:r>
      <w:r w:rsidR="00D76E99">
        <w:t xml:space="preserve">t did not detail </w:t>
      </w:r>
      <w:r w:rsidR="0053252A">
        <w:t xml:space="preserve">how compliance would be judged </w:t>
      </w:r>
      <w:r w:rsidR="004C1BAE" w:rsidRPr="00001D96">
        <w:t>(Sarbanes-Oxley Act 2002).</w:t>
      </w:r>
      <w:r w:rsidR="003841C5">
        <w:rPr>
          <w:rFonts w:eastAsia="Times New Roman"/>
          <w:color w:val="000000"/>
        </w:rPr>
        <w:t xml:space="preserve"> </w:t>
      </w:r>
      <w:r w:rsidR="00413C4F">
        <w:rPr>
          <w:rFonts w:eastAsia="Times New Roman"/>
          <w:color w:val="000000"/>
        </w:rPr>
        <w:t xml:space="preserve">Similarly, </w:t>
      </w:r>
      <w:r w:rsidR="004C1BAE">
        <w:rPr>
          <w:rFonts w:eastAsia="Times New Roman"/>
          <w:color w:val="000000"/>
        </w:rPr>
        <w:t xml:space="preserve">Basel </w:t>
      </w:r>
      <w:r w:rsidR="0053252A">
        <w:rPr>
          <w:rFonts w:eastAsia="Times New Roman"/>
          <w:color w:val="000000"/>
        </w:rPr>
        <w:t xml:space="preserve">II </w:t>
      </w:r>
      <w:r w:rsidR="004C1BAE">
        <w:rPr>
          <w:rFonts w:eastAsia="Times New Roman"/>
          <w:color w:val="000000"/>
        </w:rPr>
        <w:t xml:space="preserve">directed banks to adopt </w:t>
      </w:r>
      <w:r w:rsidR="005F7EAD">
        <w:rPr>
          <w:rFonts w:eastAsia="Times New Roman"/>
          <w:color w:val="000000"/>
        </w:rPr>
        <w:t>“</w:t>
      </w:r>
      <w:r w:rsidR="004C1BAE">
        <w:rPr>
          <w:rFonts w:eastAsia="Times New Roman"/>
          <w:color w:val="000000"/>
        </w:rPr>
        <w:t>conceptually sound</w:t>
      </w:r>
      <w:r w:rsidR="005F7EAD">
        <w:rPr>
          <w:rFonts w:eastAsia="Times New Roman"/>
          <w:color w:val="000000"/>
        </w:rPr>
        <w:t>”</w:t>
      </w:r>
      <w:r w:rsidR="004C1BAE">
        <w:rPr>
          <w:rFonts w:eastAsia="Times New Roman"/>
          <w:color w:val="000000"/>
        </w:rPr>
        <w:t xml:space="preserve"> system</w:t>
      </w:r>
      <w:r w:rsidR="00413C4F">
        <w:rPr>
          <w:rFonts w:eastAsia="Times New Roman"/>
          <w:color w:val="000000"/>
        </w:rPr>
        <w:t>s</w:t>
      </w:r>
      <w:r w:rsidR="004C1BAE">
        <w:rPr>
          <w:rFonts w:eastAsia="Times New Roman"/>
          <w:color w:val="000000"/>
        </w:rPr>
        <w:t xml:space="preserve"> to manage oper</w:t>
      </w:r>
      <w:r w:rsidR="009E2255">
        <w:rPr>
          <w:rFonts w:eastAsia="Times New Roman"/>
          <w:color w:val="000000"/>
        </w:rPr>
        <w:t xml:space="preserve">ational risks, but </w:t>
      </w:r>
      <w:r w:rsidR="005F7EAD">
        <w:rPr>
          <w:rFonts w:eastAsia="Times New Roman"/>
          <w:color w:val="000000"/>
        </w:rPr>
        <w:t xml:space="preserve">gave few clues as to what </w:t>
      </w:r>
      <w:r w:rsidR="0053252A">
        <w:rPr>
          <w:rFonts w:eastAsia="Times New Roman"/>
          <w:color w:val="000000"/>
        </w:rPr>
        <w:t xml:space="preserve">that meant </w:t>
      </w:r>
      <w:r w:rsidR="004C1BAE">
        <w:rPr>
          <w:rFonts w:eastAsia="Times New Roman"/>
          <w:color w:val="000000"/>
        </w:rPr>
        <w:t>(McConnell 2005).</w:t>
      </w:r>
      <w:r w:rsidR="00FF5F56">
        <w:rPr>
          <w:rFonts w:eastAsia="Times New Roman"/>
          <w:color w:val="000000"/>
        </w:rPr>
        <w:t xml:space="preserve"> </w:t>
      </w:r>
    </w:p>
    <w:p w14:paraId="518DDC5E" w14:textId="579F7F81" w:rsidR="009C4E12" w:rsidRPr="00546412" w:rsidRDefault="00413C4F" w:rsidP="00546412">
      <w:pPr>
        <w:spacing w:line="480" w:lineRule="auto"/>
        <w:ind w:firstLine="720"/>
        <w:rPr>
          <w:rFonts w:eastAsia="Times New Roman"/>
          <w:color w:val="000000"/>
        </w:rPr>
      </w:pPr>
      <w:r>
        <w:rPr>
          <w:rFonts w:eastAsia="Times New Roman"/>
          <w:color w:val="000000"/>
        </w:rPr>
        <w:t>In</w:t>
      </w:r>
      <w:r w:rsidR="00202243">
        <w:rPr>
          <w:rFonts w:eastAsia="Times New Roman"/>
          <w:color w:val="000000"/>
        </w:rPr>
        <w:t>stitutionalists show that in</w:t>
      </w:r>
      <w:r>
        <w:rPr>
          <w:rFonts w:eastAsia="Times New Roman"/>
          <w:color w:val="000000"/>
        </w:rPr>
        <w:t xml:space="preserve"> the face of </w:t>
      </w:r>
      <w:r w:rsidR="004C09D8">
        <w:rPr>
          <w:rFonts w:eastAsia="Times New Roman"/>
          <w:color w:val="000000"/>
        </w:rPr>
        <w:t xml:space="preserve">new regulations with ambiguous compliance standards, </w:t>
      </w:r>
      <w:r w:rsidR="00202243">
        <w:rPr>
          <w:rFonts w:eastAsia="Times New Roman"/>
          <w:color w:val="000000"/>
        </w:rPr>
        <w:t xml:space="preserve">in areas </w:t>
      </w:r>
      <w:r w:rsidR="004C09D8">
        <w:rPr>
          <w:rFonts w:eastAsia="Times New Roman"/>
          <w:color w:val="000000"/>
        </w:rPr>
        <w:t xml:space="preserve">such as </w:t>
      </w:r>
      <w:r w:rsidR="00202243">
        <w:rPr>
          <w:rFonts w:eastAsia="Times New Roman"/>
          <w:color w:val="000000"/>
        </w:rPr>
        <w:t xml:space="preserve">equal </w:t>
      </w:r>
      <w:r w:rsidR="004C09D8">
        <w:rPr>
          <w:rFonts w:eastAsia="Times New Roman"/>
          <w:color w:val="000000"/>
        </w:rPr>
        <w:t xml:space="preserve">employment </w:t>
      </w:r>
      <w:r w:rsidR="00202243">
        <w:rPr>
          <w:rFonts w:eastAsia="Times New Roman"/>
          <w:color w:val="000000"/>
        </w:rPr>
        <w:t>opportunity</w:t>
      </w:r>
      <w:r w:rsidR="004C09D8">
        <w:rPr>
          <w:rFonts w:eastAsia="Times New Roman"/>
          <w:color w:val="000000"/>
        </w:rPr>
        <w:t xml:space="preserve">, </w:t>
      </w:r>
      <w:r w:rsidR="00202243">
        <w:rPr>
          <w:rFonts w:eastAsia="Times New Roman"/>
          <w:color w:val="000000"/>
        </w:rPr>
        <w:t>occupational health and safety</w:t>
      </w:r>
      <w:r w:rsidR="004C09D8">
        <w:rPr>
          <w:rFonts w:eastAsia="Times New Roman"/>
          <w:color w:val="000000"/>
        </w:rPr>
        <w:t xml:space="preserve">, and </w:t>
      </w:r>
      <w:r w:rsidR="00202243">
        <w:rPr>
          <w:rFonts w:eastAsia="Times New Roman"/>
          <w:color w:val="000000"/>
        </w:rPr>
        <w:t xml:space="preserve">pension security, </w:t>
      </w:r>
      <w:r>
        <w:rPr>
          <w:rFonts w:eastAsia="Times New Roman"/>
          <w:color w:val="000000"/>
        </w:rPr>
        <w:t xml:space="preserve">executives </w:t>
      </w:r>
      <w:r w:rsidR="004C09D8">
        <w:rPr>
          <w:rFonts w:eastAsia="Times New Roman"/>
          <w:color w:val="000000"/>
        </w:rPr>
        <w:t xml:space="preserve">have responded by hiring </w:t>
      </w:r>
      <w:r>
        <w:rPr>
          <w:rFonts w:eastAsia="Times New Roman"/>
          <w:color w:val="000000"/>
        </w:rPr>
        <w:t>experts to take charge</w:t>
      </w:r>
      <w:r w:rsidR="00A20942">
        <w:rPr>
          <w:rFonts w:eastAsia="Times New Roman"/>
          <w:color w:val="000000"/>
        </w:rPr>
        <w:t xml:space="preserve"> </w:t>
      </w:r>
      <w:r>
        <w:rPr>
          <w:rFonts w:eastAsia="Times New Roman"/>
          <w:color w:val="000000"/>
        </w:rPr>
        <w:t>(Edelman 1990; Dobbin and Sutton 1998).</w:t>
      </w:r>
      <w:r w:rsidR="003841C5">
        <w:rPr>
          <w:rFonts w:eastAsia="Times New Roman"/>
          <w:color w:val="000000"/>
        </w:rPr>
        <w:t xml:space="preserve"> </w:t>
      </w:r>
      <w:r w:rsidRPr="00F720B2">
        <w:t xml:space="preserve">We </w:t>
      </w:r>
      <w:r w:rsidR="00E86611">
        <w:t xml:space="preserve">suggest that </w:t>
      </w:r>
      <w:r>
        <w:t xml:space="preserve">CEOs </w:t>
      </w:r>
      <w:r w:rsidR="004C09D8">
        <w:t xml:space="preserve">were particularly keen to signal that </w:t>
      </w:r>
      <w:r w:rsidRPr="00A03F06">
        <w:t>they were serious about compliance</w:t>
      </w:r>
      <w:r w:rsidR="004C09D8">
        <w:t xml:space="preserve"> because SOX </w:t>
      </w:r>
      <w:r w:rsidR="00202243">
        <w:t xml:space="preserve">made </w:t>
      </w:r>
      <w:r w:rsidR="004C09D8">
        <w:t xml:space="preserve">them </w:t>
      </w:r>
      <w:r w:rsidR="00202243">
        <w:t xml:space="preserve">personally responsible </w:t>
      </w:r>
      <w:r w:rsidR="00715E6F">
        <w:t xml:space="preserve">for </w:t>
      </w:r>
      <w:r w:rsidR="00202243">
        <w:t>risk control</w:t>
      </w:r>
      <w:r w:rsidR="004C09D8">
        <w:t xml:space="preserve">.  Risk experts argued </w:t>
      </w:r>
      <w:r w:rsidR="00296C57">
        <w:rPr>
          <w:rFonts w:eastAsia="Times New Roman"/>
          <w:color w:val="000000"/>
        </w:rPr>
        <w:t>that they could keep executives out of jail.</w:t>
      </w:r>
      <w:r w:rsidR="009B4764">
        <w:rPr>
          <w:rFonts w:eastAsia="Times New Roman"/>
          <w:color w:val="000000"/>
        </w:rPr>
        <w:t xml:space="preserve"> </w:t>
      </w:r>
      <w:r w:rsidR="00254BFD">
        <w:rPr>
          <w:rFonts w:eastAsia="Times New Roman"/>
          <w:color w:val="000000"/>
        </w:rPr>
        <w:t xml:space="preserve">As </w:t>
      </w:r>
      <w:r w:rsidR="009B4764">
        <w:rPr>
          <w:rFonts w:eastAsia="Times New Roman"/>
          <w:color w:val="000000"/>
        </w:rPr>
        <w:t>James Lam</w:t>
      </w:r>
      <w:r w:rsidR="00055939">
        <w:rPr>
          <w:rFonts w:eastAsia="Times New Roman"/>
          <w:color w:val="000000"/>
        </w:rPr>
        <w:t xml:space="preserve"> of GE Capital Market Services</w:t>
      </w:r>
      <w:r w:rsidR="009B4764">
        <w:rPr>
          <w:rFonts w:eastAsia="Times New Roman"/>
          <w:color w:val="000000"/>
        </w:rPr>
        <w:t>, the nation’s first “Chief Risk Officer</w:t>
      </w:r>
      <w:r w:rsidR="00055939">
        <w:rPr>
          <w:rFonts w:eastAsia="Times New Roman"/>
          <w:color w:val="000000"/>
        </w:rPr>
        <w:t>,</w:t>
      </w:r>
      <w:r w:rsidR="009B4764">
        <w:rPr>
          <w:rFonts w:eastAsia="Times New Roman"/>
          <w:color w:val="000000"/>
        </w:rPr>
        <w:t xml:space="preserve">” </w:t>
      </w:r>
      <w:r w:rsidR="00001D96" w:rsidRPr="00E30AF5">
        <w:rPr>
          <w:rFonts w:eastAsia="Times New Roman"/>
          <w:color w:val="000000"/>
        </w:rPr>
        <w:t xml:space="preserve">wrote shortly after </w:t>
      </w:r>
      <w:r w:rsidR="00254BFD">
        <w:rPr>
          <w:rFonts w:eastAsia="Times New Roman"/>
          <w:color w:val="000000"/>
        </w:rPr>
        <w:t>SOX passed</w:t>
      </w:r>
      <w:r w:rsidR="00001D96" w:rsidRPr="00E30AF5">
        <w:rPr>
          <w:rFonts w:eastAsia="Times New Roman"/>
          <w:color w:val="000000"/>
        </w:rPr>
        <w:t>:</w:t>
      </w:r>
    </w:p>
    <w:p w14:paraId="3C22B3C9" w14:textId="1CEB693B" w:rsidR="00314CA6" w:rsidRDefault="00001D96" w:rsidP="00187CFB">
      <w:pPr>
        <w:ind w:left="720" w:right="1440"/>
        <w:jc w:val="both"/>
        <w:rPr>
          <w:rFonts w:eastAsia="Times New Roman"/>
          <w:color w:val="000000"/>
        </w:rPr>
      </w:pPr>
      <w:r w:rsidRPr="00DD26AD">
        <w:rPr>
          <w:rFonts w:eastAsia="Times New Roman"/>
          <w:color w:val="000000"/>
        </w:rPr>
        <w:t xml:space="preserve">On an individual level, perhaps the most </w:t>
      </w:r>
      <w:r w:rsidRPr="00121AE9">
        <w:rPr>
          <w:rFonts w:eastAsia="Times New Roman"/>
          <w:color w:val="000000"/>
        </w:rPr>
        <w:t>compelling benefit of risk management is that it promotes job and financial security</w:t>
      </w:r>
      <w:r w:rsidRPr="00DD26AD">
        <w:rPr>
          <w:rFonts w:eastAsia="Times New Roman"/>
          <w:color w:val="000000"/>
        </w:rPr>
        <w:t>, especially for senior</w:t>
      </w:r>
      <w:r w:rsidR="00413C4F">
        <w:rPr>
          <w:rFonts w:eastAsia="Times New Roman"/>
          <w:color w:val="000000"/>
        </w:rPr>
        <w:t xml:space="preserve"> </w:t>
      </w:r>
      <w:r w:rsidRPr="00DD26AD">
        <w:rPr>
          <w:rFonts w:eastAsia="Times New Roman"/>
          <w:color w:val="000000"/>
        </w:rPr>
        <w:t>managers</w:t>
      </w:r>
      <w:r w:rsidR="00413C4F">
        <w:rPr>
          <w:rFonts w:eastAsia="Times New Roman"/>
          <w:color w:val="000000"/>
        </w:rPr>
        <w:t xml:space="preserve"> </w:t>
      </w:r>
      <w:r w:rsidRPr="00DD26AD">
        <w:rPr>
          <w:rFonts w:eastAsia="Times New Roman"/>
          <w:color w:val="000000"/>
        </w:rPr>
        <w:t>…</w:t>
      </w:r>
      <w:r w:rsidR="00413C4F">
        <w:rPr>
          <w:rFonts w:eastAsia="Times New Roman"/>
          <w:color w:val="000000"/>
        </w:rPr>
        <w:t xml:space="preserve"> </w:t>
      </w:r>
      <w:r w:rsidRPr="00DD26AD">
        <w:rPr>
          <w:rFonts w:eastAsia="Times New Roman"/>
          <w:color w:val="000000"/>
        </w:rPr>
        <w:t>senior executives involved in corporate frauds and accounting scandals have appeared on national television being led away in handcuffs and face the potenti</w:t>
      </w:r>
      <w:r w:rsidR="00035D12">
        <w:rPr>
          <w:rFonts w:eastAsia="Times New Roman"/>
          <w:color w:val="000000"/>
        </w:rPr>
        <w:t>al of severe criminal sentences</w:t>
      </w:r>
      <w:r w:rsidRPr="00DD26AD">
        <w:rPr>
          <w:rFonts w:eastAsia="Times New Roman"/>
          <w:color w:val="000000"/>
        </w:rPr>
        <w:t xml:space="preserve"> (Lam 2003: 8-9)</w:t>
      </w:r>
      <w:r>
        <w:rPr>
          <w:rFonts w:eastAsia="Times New Roman"/>
          <w:color w:val="000000"/>
        </w:rPr>
        <w:t>.</w:t>
      </w:r>
    </w:p>
    <w:p w14:paraId="0E30CF75" w14:textId="77777777" w:rsidR="00546412" w:rsidRPr="00546412" w:rsidRDefault="00546412" w:rsidP="00546412">
      <w:pPr>
        <w:ind w:left="720" w:right="720"/>
        <w:rPr>
          <w:rFonts w:eastAsia="Times New Roman"/>
          <w:color w:val="000000"/>
        </w:rPr>
      </w:pPr>
    </w:p>
    <w:p w14:paraId="6F511BCB" w14:textId="331383C9" w:rsidR="00120C2A" w:rsidRDefault="00120C2A" w:rsidP="00622847">
      <w:pPr>
        <w:spacing w:line="480" w:lineRule="auto"/>
      </w:pPr>
      <w:r w:rsidRPr="00080D5F">
        <w:t xml:space="preserve">Moreover, while SOX </w:t>
      </w:r>
      <w:r w:rsidR="0017651F" w:rsidRPr="00080D5F">
        <w:t xml:space="preserve">did not require banks to appoint CROs, the </w:t>
      </w:r>
      <w:r w:rsidR="00314CC9" w:rsidRPr="00080D5F">
        <w:t xml:space="preserve">Securities and Exchange Commission (SEC), </w:t>
      </w:r>
      <w:r w:rsidR="0017651F" w:rsidRPr="00080D5F">
        <w:t xml:space="preserve">which Congress </w:t>
      </w:r>
      <w:r w:rsidR="00314CC9" w:rsidRPr="00080D5F">
        <w:t xml:space="preserve">charged with enforcement, </w:t>
      </w:r>
      <w:r w:rsidR="00314CC9" w:rsidRPr="005B52E2">
        <w:t xml:space="preserve">signaled that risk officers </w:t>
      </w:r>
      <w:r w:rsidR="00B1057A" w:rsidRPr="005B52E2">
        <w:t>had the tools to comply.</w:t>
      </w:r>
      <w:r w:rsidR="00B1057A" w:rsidRPr="00080D5F">
        <w:t xml:space="preserve"> </w:t>
      </w:r>
      <w:r w:rsidR="00314CC9" w:rsidRPr="005B52E2">
        <w:t>The</w:t>
      </w:r>
      <w:r w:rsidR="00314CC9">
        <w:t xml:space="preserve"> Commission ruled </w:t>
      </w:r>
      <w:r w:rsidR="00274D63">
        <w:rPr>
          <w:rFonts w:eastAsia="Times New Roman"/>
          <w:color w:val="000000"/>
        </w:rPr>
        <w:t xml:space="preserve">that </w:t>
      </w:r>
      <w:r w:rsidR="00314CC9">
        <w:rPr>
          <w:rFonts w:eastAsia="Times New Roman"/>
          <w:color w:val="000000"/>
        </w:rPr>
        <w:t xml:space="preserve">firms must implement </w:t>
      </w:r>
      <w:r w:rsidR="009F033C" w:rsidRPr="005514F5">
        <w:rPr>
          <w:rFonts w:eastAsia="Times New Roman"/>
          <w:color w:val="000000"/>
        </w:rPr>
        <w:t>an “</w:t>
      </w:r>
      <w:r w:rsidR="004A36D9" w:rsidRPr="005514F5">
        <w:rPr>
          <w:rFonts w:eastAsia="Times New Roman"/>
          <w:color w:val="000000"/>
        </w:rPr>
        <w:t>established</w:t>
      </w:r>
      <w:r w:rsidR="009F033C" w:rsidRPr="005514F5">
        <w:rPr>
          <w:rFonts w:eastAsia="Times New Roman"/>
          <w:color w:val="000000"/>
        </w:rPr>
        <w:t>”</w:t>
      </w:r>
      <w:r w:rsidR="004A36D9" w:rsidRPr="005514F5">
        <w:rPr>
          <w:rFonts w:eastAsia="Times New Roman"/>
          <w:color w:val="000000"/>
        </w:rPr>
        <w:t xml:space="preserve"> </w:t>
      </w:r>
      <w:r w:rsidR="00126F96">
        <w:rPr>
          <w:rFonts w:eastAsia="Times New Roman"/>
          <w:color w:val="000000"/>
        </w:rPr>
        <w:t xml:space="preserve">internal </w:t>
      </w:r>
      <w:r w:rsidR="004A36D9" w:rsidRPr="005514F5">
        <w:rPr>
          <w:rFonts w:eastAsia="Times New Roman"/>
          <w:color w:val="000000"/>
        </w:rPr>
        <w:t>control framework</w:t>
      </w:r>
      <w:r w:rsidR="009F033C" w:rsidRPr="005514F5">
        <w:rPr>
          <w:rFonts w:eastAsia="Times New Roman"/>
          <w:color w:val="000000"/>
        </w:rPr>
        <w:t xml:space="preserve">, </w:t>
      </w:r>
      <w:r w:rsidRPr="005514F5">
        <w:rPr>
          <w:rFonts w:eastAsia="Times New Roman"/>
          <w:color w:val="000000"/>
        </w:rPr>
        <w:t xml:space="preserve">and </w:t>
      </w:r>
      <w:r w:rsidR="00B1057A">
        <w:rPr>
          <w:rFonts w:eastAsia="Times New Roman"/>
          <w:color w:val="000000"/>
        </w:rPr>
        <w:t>explicitly</w:t>
      </w:r>
      <w:r w:rsidR="00B1057A" w:rsidRPr="005514F5">
        <w:rPr>
          <w:rFonts w:eastAsia="Times New Roman"/>
          <w:color w:val="000000"/>
        </w:rPr>
        <w:t xml:space="preserve"> </w:t>
      </w:r>
      <w:r w:rsidR="00CD6DD0">
        <w:rPr>
          <w:rFonts w:eastAsia="Times New Roman"/>
          <w:color w:val="000000"/>
        </w:rPr>
        <w:t>vetted</w:t>
      </w:r>
      <w:r w:rsidR="00121AE9" w:rsidRPr="005514F5">
        <w:rPr>
          <w:rFonts w:eastAsia="Times New Roman"/>
          <w:color w:val="000000"/>
        </w:rPr>
        <w:t xml:space="preserve"> an existing framework </w:t>
      </w:r>
      <w:r w:rsidR="00BE3592" w:rsidRPr="005514F5">
        <w:rPr>
          <w:rFonts w:eastAsia="Times New Roman"/>
          <w:color w:val="000000"/>
        </w:rPr>
        <w:t>(the COSO</w:t>
      </w:r>
      <w:r w:rsidR="00090C85">
        <w:rPr>
          <w:rFonts w:eastAsia="Times New Roman"/>
          <w:color w:val="000000"/>
        </w:rPr>
        <w:t xml:space="preserve"> framework</w:t>
      </w:r>
      <w:r w:rsidR="00904503">
        <w:rPr>
          <w:rFonts w:eastAsia="Times New Roman"/>
          <w:color w:val="000000"/>
        </w:rPr>
        <w:t xml:space="preserve"> of enterprise risk management</w:t>
      </w:r>
      <w:r w:rsidR="00BE3592" w:rsidRPr="005514F5">
        <w:rPr>
          <w:rFonts w:eastAsia="Times New Roman"/>
          <w:color w:val="000000"/>
        </w:rPr>
        <w:t xml:space="preserve">) </w:t>
      </w:r>
      <w:r w:rsidR="00904503">
        <w:rPr>
          <w:rFonts w:eastAsia="Times New Roman"/>
          <w:color w:val="000000"/>
        </w:rPr>
        <w:t xml:space="preserve">developed by </w:t>
      </w:r>
      <w:r w:rsidR="005514F5" w:rsidRPr="005514F5">
        <w:rPr>
          <w:rFonts w:eastAsia="Times New Roman"/>
          <w:color w:val="000000"/>
        </w:rPr>
        <w:t>risk</w:t>
      </w:r>
      <w:r w:rsidR="009F033C" w:rsidRPr="005514F5">
        <w:rPr>
          <w:rFonts w:eastAsia="Times New Roman"/>
          <w:color w:val="000000"/>
        </w:rPr>
        <w:t xml:space="preserve"> </w:t>
      </w:r>
      <w:r w:rsidRPr="00026E76">
        <w:rPr>
          <w:rFonts w:eastAsia="Times New Roman"/>
          <w:color w:val="000000"/>
        </w:rPr>
        <w:t xml:space="preserve">experts </w:t>
      </w:r>
      <w:r w:rsidR="004A36D9" w:rsidRPr="00026E76">
        <w:rPr>
          <w:rFonts w:eastAsia="Times New Roman"/>
          <w:color w:val="000000"/>
        </w:rPr>
        <w:t>(</w:t>
      </w:r>
      <w:r w:rsidR="005514F5" w:rsidRPr="00026E76">
        <w:rPr>
          <w:rFonts w:eastAsia="Times New Roman"/>
          <w:color w:val="000000"/>
        </w:rPr>
        <w:t>COSO</w:t>
      </w:r>
      <w:r w:rsidR="00026E76">
        <w:rPr>
          <w:rFonts w:eastAsia="Times New Roman"/>
          <w:color w:val="000000"/>
        </w:rPr>
        <w:t xml:space="preserve"> 1992</w:t>
      </w:r>
      <w:r w:rsidR="005514F5" w:rsidRPr="005514F5">
        <w:rPr>
          <w:rFonts w:eastAsia="Times New Roman"/>
          <w:color w:val="000000"/>
        </w:rPr>
        <w:t xml:space="preserve">; </w:t>
      </w:r>
      <w:r w:rsidR="004A36D9" w:rsidRPr="005514F5">
        <w:rPr>
          <w:rFonts w:eastAsia="Times New Roman"/>
          <w:color w:val="000000"/>
        </w:rPr>
        <w:t>SEC Final Rule 200</w:t>
      </w:r>
      <w:r w:rsidR="007D3587" w:rsidRPr="005514F5">
        <w:rPr>
          <w:rFonts w:eastAsia="Times New Roman"/>
          <w:color w:val="000000"/>
        </w:rPr>
        <w:t xml:space="preserve">3). </w:t>
      </w:r>
      <w:r w:rsidR="00A31C08" w:rsidRPr="005514F5">
        <w:rPr>
          <w:rFonts w:eastAsia="Times New Roman"/>
          <w:color w:val="000000"/>
        </w:rPr>
        <w:t>M</w:t>
      </w:r>
      <w:r w:rsidR="006754C8" w:rsidRPr="005514F5">
        <w:rPr>
          <w:rFonts w:eastAsia="Times New Roman"/>
          <w:color w:val="000000"/>
        </w:rPr>
        <w:t>a</w:t>
      </w:r>
      <w:r w:rsidR="00F52D9E" w:rsidRPr="005514F5">
        <w:rPr>
          <w:rFonts w:eastAsia="Times New Roman"/>
          <w:color w:val="000000"/>
        </w:rPr>
        <w:t xml:space="preserve">ny </w:t>
      </w:r>
      <w:r w:rsidR="006754C8" w:rsidRPr="005514F5">
        <w:rPr>
          <w:rFonts w:eastAsia="Times New Roman"/>
          <w:color w:val="000000"/>
        </w:rPr>
        <w:t xml:space="preserve">firms </w:t>
      </w:r>
      <w:r w:rsidR="007D3587" w:rsidRPr="005514F5">
        <w:rPr>
          <w:rFonts w:eastAsia="Times New Roman"/>
          <w:color w:val="000000"/>
        </w:rPr>
        <w:t xml:space="preserve">responded by </w:t>
      </w:r>
      <w:r w:rsidR="0017651F">
        <w:rPr>
          <w:rFonts w:eastAsia="Times New Roman"/>
          <w:color w:val="000000"/>
        </w:rPr>
        <w:t xml:space="preserve">appointing CROs to </w:t>
      </w:r>
      <w:r w:rsidR="0017651F" w:rsidRPr="00AD32BE">
        <w:rPr>
          <w:rFonts w:eastAsia="Times New Roman"/>
          <w:color w:val="000000"/>
        </w:rPr>
        <w:t>implement</w:t>
      </w:r>
      <w:r w:rsidR="0008579B" w:rsidRPr="00AD32BE">
        <w:rPr>
          <w:rFonts w:eastAsia="Times New Roman"/>
          <w:color w:val="000000"/>
        </w:rPr>
        <w:t xml:space="preserve"> </w:t>
      </w:r>
      <w:r w:rsidR="00314CC9" w:rsidRPr="00AD32BE">
        <w:rPr>
          <w:rFonts w:eastAsia="Times New Roman"/>
          <w:color w:val="000000"/>
        </w:rPr>
        <w:t>“</w:t>
      </w:r>
      <w:r w:rsidR="007B1F64" w:rsidRPr="00AD32BE">
        <w:rPr>
          <w:rFonts w:eastAsia="Times New Roman"/>
          <w:color w:val="000000"/>
        </w:rPr>
        <w:t>enterprise risk management</w:t>
      </w:r>
      <w:r w:rsidR="00314CC9" w:rsidRPr="00AD32BE">
        <w:rPr>
          <w:rFonts w:eastAsia="Times New Roman"/>
          <w:color w:val="000000"/>
        </w:rPr>
        <w:t>”</w:t>
      </w:r>
      <w:r w:rsidR="007B1F64" w:rsidRPr="00AD32BE">
        <w:rPr>
          <w:rFonts w:eastAsia="Times New Roman"/>
          <w:color w:val="000000"/>
        </w:rPr>
        <w:t xml:space="preserve"> (ERM)</w:t>
      </w:r>
      <w:r w:rsidR="0008579B" w:rsidRPr="00AD32BE">
        <w:rPr>
          <w:rFonts w:eastAsia="Times New Roman"/>
          <w:color w:val="000000"/>
        </w:rPr>
        <w:t xml:space="preserve"> programs</w:t>
      </w:r>
      <w:r w:rsidR="007B1F64" w:rsidRPr="00AD32BE">
        <w:rPr>
          <w:rFonts w:eastAsia="Times New Roman"/>
          <w:color w:val="000000"/>
        </w:rPr>
        <w:t xml:space="preserve">, </w:t>
      </w:r>
      <w:r w:rsidR="009F033C" w:rsidRPr="00080D5F">
        <w:rPr>
          <w:rFonts w:eastAsia="Times New Roman"/>
          <w:color w:val="000000"/>
        </w:rPr>
        <w:t xml:space="preserve">which </w:t>
      </w:r>
      <w:r w:rsidR="009F033C" w:rsidRPr="00080D5F">
        <w:t xml:space="preserve">prescribed centralized </w:t>
      </w:r>
      <w:r w:rsidR="0017651F" w:rsidRPr="00AD32BE">
        <w:t xml:space="preserve">modeling and </w:t>
      </w:r>
      <w:r w:rsidR="009F033C" w:rsidRPr="00080D5F">
        <w:t>management of all risk across a firm’s departments and business units</w:t>
      </w:r>
      <w:r w:rsidR="009F033C" w:rsidRPr="00AD32BE">
        <w:t xml:space="preserve"> (RIMS 201</w:t>
      </w:r>
      <w:r w:rsidR="00245A17">
        <w:t>2</w:t>
      </w:r>
      <w:r w:rsidR="007B1F64" w:rsidRPr="00AD32BE">
        <w:t xml:space="preserve">; </w:t>
      </w:r>
      <w:r w:rsidR="007B1F64" w:rsidRPr="00AD32BE">
        <w:rPr>
          <w:rFonts w:eastAsia="Times New Roman"/>
          <w:color w:val="000000"/>
        </w:rPr>
        <w:t>Deloitte 2004</w:t>
      </w:r>
      <w:r w:rsidR="009F033C" w:rsidRPr="00E75AB6">
        <w:t xml:space="preserve">). </w:t>
      </w:r>
    </w:p>
    <w:p w14:paraId="29C9ACF0" w14:textId="2DE33B01" w:rsidR="009F1DB8" w:rsidRPr="00BE770A" w:rsidRDefault="00333224" w:rsidP="00622847">
      <w:pPr>
        <w:spacing w:line="480" w:lineRule="auto"/>
        <w:ind w:firstLine="720"/>
      </w:pPr>
      <w:r>
        <w:lastRenderedPageBreak/>
        <w:t xml:space="preserve">Financial journalists, and </w:t>
      </w:r>
      <w:r w:rsidR="0034138B">
        <w:t xml:space="preserve">members of </w:t>
      </w:r>
      <w:r>
        <w:t>the finance industry more broadly, saw CROs as the lynchpin of compliance</w:t>
      </w:r>
      <w:r w:rsidR="0017651F">
        <w:t xml:space="preserve">. As </w:t>
      </w:r>
      <w:r w:rsidR="00F760AE">
        <w:t xml:space="preserve">Lawrence Richter Quinn </w:t>
      </w:r>
      <w:r w:rsidR="004A36D9" w:rsidRPr="004A36D9">
        <w:t>wrote, “how do you know who's working hard at effective ERM</w:t>
      </w:r>
      <w:proofErr w:type="gramStart"/>
      <w:r w:rsidR="004A36D9" w:rsidRPr="004A36D9">
        <w:t>?...</w:t>
      </w:r>
      <w:proofErr w:type="gramEnd"/>
      <w:r w:rsidR="004A36D9" w:rsidRPr="004A36D9">
        <w:t>One way to quickly see if the company you are researching does have ERM is to check for a Ch</w:t>
      </w:r>
      <w:r w:rsidR="00CE713E">
        <w:t>ief Risk Officer” (Quinn 2008</w:t>
      </w:r>
      <w:r w:rsidR="006754C8">
        <w:t xml:space="preserve">; see also </w:t>
      </w:r>
      <w:r w:rsidR="006754C8" w:rsidRPr="004A36D9">
        <w:t>Power 2005,</w:t>
      </w:r>
      <w:r w:rsidR="006754C8">
        <w:t xml:space="preserve"> Atkinson 2003: 1; Aksel 2003</w:t>
      </w:r>
      <w:r w:rsidR="00CE713E">
        <w:t>).</w:t>
      </w:r>
      <w:r w:rsidR="00C13AC6">
        <w:rPr>
          <w:rFonts w:eastAsia="Times New Roman"/>
          <w:color w:val="000000"/>
        </w:rPr>
        <w:t xml:space="preserve"> </w:t>
      </w:r>
      <w:r w:rsidR="00467A06">
        <w:rPr>
          <w:rFonts w:eastAsia="Times New Roman"/>
          <w:color w:val="000000"/>
        </w:rPr>
        <w:t xml:space="preserve">Experts evaluating Basel II compliance came to similar conclusions. </w:t>
      </w:r>
      <w:r w:rsidR="007B162A">
        <w:t xml:space="preserve">Two years after </w:t>
      </w:r>
      <w:r w:rsidR="00467A06">
        <w:t xml:space="preserve">the new standards </w:t>
      </w:r>
      <w:r w:rsidR="007B162A">
        <w:t xml:space="preserve">took effect in 2005, </w:t>
      </w:r>
      <w:r w:rsidR="00467A06">
        <w:t>industry</w:t>
      </w:r>
      <w:r w:rsidR="007B162A">
        <w:t xml:space="preserve"> analysts </w:t>
      </w:r>
      <w:r w:rsidR="00467A06">
        <w:t xml:space="preserve">interpreted </w:t>
      </w:r>
      <w:r w:rsidR="00FE607A">
        <w:t xml:space="preserve">the </w:t>
      </w:r>
      <w:r w:rsidR="00467A06">
        <w:t xml:space="preserve">appointment of a CRO </w:t>
      </w:r>
      <w:r w:rsidR="007B162A">
        <w:t xml:space="preserve">practicing ERM as evidence of intent to comply </w:t>
      </w:r>
      <w:r w:rsidR="007B162A" w:rsidRPr="00A62C0A">
        <w:rPr>
          <w:rFonts w:eastAsia="Times New Roman"/>
          <w:color w:val="000000"/>
        </w:rPr>
        <w:t>(McConnell 2007).</w:t>
      </w:r>
    </w:p>
    <w:p w14:paraId="588272FB" w14:textId="2F7AA1AB" w:rsidR="00715E6F" w:rsidRDefault="009F1DB8" w:rsidP="00622847">
      <w:pPr>
        <w:spacing w:line="480" w:lineRule="auto"/>
        <w:ind w:firstLine="720"/>
      </w:pPr>
      <w:r w:rsidRPr="00F720B2">
        <w:rPr>
          <w:rFonts w:eastAsia="Times New Roman"/>
          <w:color w:val="000000"/>
        </w:rPr>
        <w:t>If banks appointed CROs in response to</w:t>
      </w:r>
      <w:r w:rsidR="00A550E9" w:rsidRPr="00F720B2">
        <w:rPr>
          <w:rFonts w:eastAsia="Times New Roman"/>
          <w:color w:val="000000"/>
        </w:rPr>
        <w:t xml:space="preserve"> heightened </w:t>
      </w:r>
      <w:r w:rsidR="003D0A37" w:rsidRPr="00F720B2">
        <w:rPr>
          <w:rFonts w:eastAsia="Times New Roman"/>
          <w:color w:val="000000"/>
        </w:rPr>
        <w:t xml:space="preserve">regulatory </w:t>
      </w:r>
      <w:r w:rsidR="00F240D5" w:rsidRPr="00F720B2">
        <w:rPr>
          <w:rFonts w:eastAsia="Times New Roman"/>
          <w:color w:val="000000"/>
        </w:rPr>
        <w:t>pressures</w:t>
      </w:r>
      <w:r w:rsidRPr="00F720B2">
        <w:rPr>
          <w:rFonts w:eastAsia="Times New Roman"/>
          <w:color w:val="000000"/>
        </w:rPr>
        <w:t xml:space="preserve">, </w:t>
      </w:r>
      <w:r w:rsidR="007C75EA">
        <w:rPr>
          <w:rFonts w:eastAsia="Times New Roman"/>
          <w:color w:val="000000"/>
        </w:rPr>
        <w:t>two</w:t>
      </w:r>
      <w:r w:rsidR="007C75EA" w:rsidRPr="00F720B2">
        <w:rPr>
          <w:rFonts w:eastAsia="Times New Roman"/>
          <w:color w:val="000000"/>
        </w:rPr>
        <w:t xml:space="preserve"> </w:t>
      </w:r>
      <w:r w:rsidRPr="00F720B2">
        <w:rPr>
          <w:rFonts w:eastAsia="Times New Roman"/>
          <w:color w:val="000000"/>
        </w:rPr>
        <w:t xml:space="preserve">patterns </w:t>
      </w:r>
      <w:r w:rsidR="000F23AA">
        <w:rPr>
          <w:rFonts w:eastAsia="Times New Roman"/>
          <w:color w:val="000000"/>
        </w:rPr>
        <w:t xml:space="preserve">should </w:t>
      </w:r>
      <w:r w:rsidRPr="00F720B2">
        <w:rPr>
          <w:rFonts w:eastAsia="Times New Roman"/>
          <w:color w:val="000000"/>
        </w:rPr>
        <w:t>hold</w:t>
      </w:r>
      <w:r w:rsidR="00425C75" w:rsidRPr="00F720B2">
        <w:rPr>
          <w:rFonts w:eastAsia="Times New Roman"/>
          <w:color w:val="000000"/>
        </w:rPr>
        <w:t>.</w:t>
      </w:r>
      <w:r w:rsidR="002F62E0" w:rsidRPr="00F720B2">
        <w:rPr>
          <w:rFonts w:eastAsia="Times New Roman"/>
          <w:color w:val="000000"/>
        </w:rPr>
        <w:t xml:space="preserve"> First, </w:t>
      </w:r>
      <w:r w:rsidR="0018297C">
        <w:rPr>
          <w:rFonts w:eastAsia="Times New Roman"/>
          <w:color w:val="000000"/>
        </w:rPr>
        <w:t>banks</w:t>
      </w:r>
      <w:r w:rsidR="000959CF">
        <w:rPr>
          <w:rFonts w:eastAsia="Times New Roman"/>
          <w:color w:val="000000"/>
        </w:rPr>
        <w:t xml:space="preserve">’ likelihood of appointing CROs should rise in the wake of the </w:t>
      </w:r>
      <w:r w:rsidR="00AD32BE">
        <w:rPr>
          <w:rFonts w:eastAsia="Times New Roman"/>
          <w:color w:val="000000"/>
        </w:rPr>
        <w:t xml:space="preserve">new </w:t>
      </w:r>
      <w:r w:rsidR="000959CF">
        <w:rPr>
          <w:rFonts w:eastAsia="Times New Roman"/>
          <w:color w:val="000000"/>
        </w:rPr>
        <w:t xml:space="preserve">regulations. </w:t>
      </w:r>
      <w:r w:rsidR="00B22D79">
        <w:rPr>
          <w:rFonts w:eastAsia="Times New Roman"/>
          <w:color w:val="000000"/>
        </w:rPr>
        <w:t xml:space="preserve">We test this idea below. </w:t>
      </w:r>
      <w:r w:rsidR="009B079F">
        <w:rPr>
          <w:rFonts w:eastAsia="Times New Roman"/>
          <w:color w:val="000000"/>
        </w:rPr>
        <w:t xml:space="preserve">The </w:t>
      </w:r>
      <w:r w:rsidR="00765C2A">
        <w:rPr>
          <w:rFonts w:eastAsia="Times New Roman"/>
          <w:color w:val="000000"/>
        </w:rPr>
        <w:t xml:space="preserve">pattern of </w:t>
      </w:r>
      <w:r w:rsidR="009B079F">
        <w:rPr>
          <w:rFonts w:eastAsia="Times New Roman"/>
          <w:color w:val="000000"/>
        </w:rPr>
        <w:t xml:space="preserve">diffusion </w:t>
      </w:r>
      <w:r w:rsidR="00936B83">
        <w:t>support</w:t>
      </w:r>
      <w:r w:rsidR="009B079F">
        <w:t>s</w:t>
      </w:r>
      <w:r w:rsidR="00936B83">
        <w:t xml:space="preserve"> </w:t>
      </w:r>
      <w:r w:rsidR="00B217EF">
        <w:t>this proposition:</w:t>
      </w:r>
      <w:r w:rsidR="000959CF">
        <w:t xml:space="preserve"> </w:t>
      </w:r>
      <w:r w:rsidR="009114C5">
        <w:t xml:space="preserve">Figure 1 shows that </w:t>
      </w:r>
      <w:r w:rsidR="008C2614" w:rsidRPr="00A62C0A">
        <w:rPr>
          <w:rFonts w:eastAsia="Times New Roman"/>
          <w:color w:val="000000"/>
        </w:rPr>
        <w:t>CRO</w:t>
      </w:r>
      <w:r w:rsidR="002575BA">
        <w:rPr>
          <w:rFonts w:eastAsia="Times New Roman"/>
          <w:color w:val="000000"/>
        </w:rPr>
        <w:t>s</w:t>
      </w:r>
      <w:r w:rsidR="008C2614" w:rsidRPr="00A62C0A">
        <w:rPr>
          <w:rFonts w:eastAsia="Times New Roman"/>
          <w:color w:val="000000"/>
        </w:rPr>
        <w:t xml:space="preserve"> began to spread in the early 2</w:t>
      </w:r>
      <w:r w:rsidR="008C2614">
        <w:rPr>
          <w:rFonts w:eastAsia="Times New Roman"/>
          <w:color w:val="000000"/>
        </w:rPr>
        <w:t>000s, shortly after the passage of Gramm-Leach-Bliley</w:t>
      </w:r>
      <w:r w:rsidR="002575BA">
        <w:rPr>
          <w:rFonts w:eastAsia="Times New Roman"/>
          <w:color w:val="000000"/>
        </w:rPr>
        <w:t xml:space="preserve"> in 1999</w:t>
      </w:r>
      <w:r w:rsidR="008C2614">
        <w:rPr>
          <w:rFonts w:eastAsia="Times New Roman"/>
          <w:color w:val="000000"/>
        </w:rPr>
        <w:t xml:space="preserve">, the Patriot Act </w:t>
      </w:r>
      <w:r w:rsidR="002575BA">
        <w:rPr>
          <w:rFonts w:eastAsia="Times New Roman"/>
          <w:color w:val="000000"/>
        </w:rPr>
        <w:t>in 2001</w:t>
      </w:r>
      <w:r w:rsidR="008C2614">
        <w:rPr>
          <w:rFonts w:eastAsia="Times New Roman"/>
          <w:color w:val="000000"/>
        </w:rPr>
        <w:t xml:space="preserve">, </w:t>
      </w:r>
      <w:r w:rsidR="00554F14">
        <w:rPr>
          <w:rFonts w:eastAsia="Times New Roman"/>
          <w:color w:val="000000"/>
        </w:rPr>
        <w:t xml:space="preserve">and Sarbanes-Oxley </w:t>
      </w:r>
      <w:r w:rsidR="002575BA">
        <w:rPr>
          <w:rFonts w:eastAsia="Times New Roman"/>
          <w:color w:val="000000"/>
        </w:rPr>
        <w:t xml:space="preserve">in 2002. </w:t>
      </w:r>
      <w:r w:rsidR="00B22D79">
        <w:rPr>
          <w:rFonts w:eastAsia="Times New Roman"/>
          <w:color w:val="000000"/>
        </w:rPr>
        <w:t xml:space="preserve">Diffusion </w:t>
      </w:r>
      <w:r w:rsidR="008C2614" w:rsidRPr="00035D12">
        <w:rPr>
          <w:rFonts w:eastAsia="Times New Roman"/>
          <w:color w:val="000000"/>
        </w:rPr>
        <w:t xml:space="preserve">picked up </w:t>
      </w:r>
      <w:r w:rsidR="002575BA">
        <w:rPr>
          <w:rFonts w:eastAsia="Times New Roman"/>
          <w:color w:val="000000"/>
        </w:rPr>
        <w:t>in 2005</w:t>
      </w:r>
      <w:r w:rsidR="008C2614" w:rsidRPr="00035D12">
        <w:rPr>
          <w:rFonts w:eastAsia="Times New Roman"/>
          <w:color w:val="000000"/>
        </w:rPr>
        <w:t xml:space="preserve">, after Basel II </w:t>
      </w:r>
      <w:r w:rsidR="00757723">
        <w:rPr>
          <w:rFonts w:eastAsia="Times New Roman"/>
          <w:color w:val="000000"/>
        </w:rPr>
        <w:t xml:space="preserve">was </w:t>
      </w:r>
      <w:r w:rsidR="00757723" w:rsidRPr="00080D5F">
        <w:rPr>
          <w:rFonts w:eastAsia="Times New Roman"/>
          <w:color w:val="000000"/>
        </w:rPr>
        <w:t>published</w:t>
      </w:r>
      <w:r w:rsidR="00757723">
        <w:rPr>
          <w:rFonts w:eastAsia="Times New Roman"/>
          <w:color w:val="000000"/>
        </w:rPr>
        <w:t xml:space="preserve"> </w:t>
      </w:r>
      <w:r w:rsidR="002575BA">
        <w:rPr>
          <w:rFonts w:eastAsia="Times New Roman"/>
          <w:color w:val="000000"/>
        </w:rPr>
        <w:t>(</w:t>
      </w:r>
      <w:r w:rsidR="00757723">
        <w:rPr>
          <w:rFonts w:eastAsia="Times New Roman"/>
          <w:color w:val="000000"/>
        </w:rPr>
        <w:t>June 2004</w:t>
      </w:r>
      <w:r w:rsidR="002575BA">
        <w:rPr>
          <w:rFonts w:eastAsia="Times New Roman"/>
          <w:color w:val="000000"/>
        </w:rPr>
        <w:t xml:space="preserve">) </w:t>
      </w:r>
      <w:r w:rsidR="008C2614" w:rsidRPr="00035D12">
        <w:rPr>
          <w:rFonts w:eastAsia="Times New Roman"/>
          <w:color w:val="000000"/>
        </w:rPr>
        <w:t>a</w:t>
      </w:r>
      <w:r w:rsidR="002F62E0" w:rsidRPr="00035D12">
        <w:rPr>
          <w:rFonts w:eastAsia="Times New Roman"/>
          <w:color w:val="000000"/>
        </w:rPr>
        <w:t xml:space="preserve">nd </w:t>
      </w:r>
      <w:r w:rsidR="009114C5">
        <w:rPr>
          <w:rFonts w:eastAsia="Times New Roman"/>
          <w:color w:val="000000"/>
        </w:rPr>
        <w:t xml:space="preserve">after </w:t>
      </w:r>
      <w:r w:rsidR="00554F14">
        <w:rPr>
          <w:rFonts w:eastAsia="Times New Roman"/>
          <w:color w:val="000000"/>
        </w:rPr>
        <w:t xml:space="preserve">SOX </w:t>
      </w:r>
      <w:r w:rsidR="002575BA">
        <w:rPr>
          <w:rFonts w:eastAsia="Times New Roman"/>
          <w:color w:val="000000"/>
        </w:rPr>
        <w:t xml:space="preserve">took </w:t>
      </w:r>
      <w:r w:rsidR="002F62E0" w:rsidRPr="00035D12">
        <w:rPr>
          <w:rFonts w:eastAsia="Times New Roman"/>
          <w:color w:val="000000"/>
        </w:rPr>
        <w:t xml:space="preserve">effect </w:t>
      </w:r>
      <w:r w:rsidR="002575BA">
        <w:rPr>
          <w:rFonts w:eastAsia="Times New Roman"/>
          <w:color w:val="000000"/>
        </w:rPr>
        <w:t>(</w:t>
      </w:r>
      <w:r w:rsidR="002575BA" w:rsidRPr="0083115C">
        <w:rPr>
          <w:rFonts w:eastAsia="Times New Roman"/>
          <w:color w:val="000000"/>
        </w:rPr>
        <w:t>January 2005)</w:t>
      </w:r>
      <w:r w:rsidR="008C2614" w:rsidRPr="0083115C">
        <w:rPr>
          <w:rFonts w:eastAsia="Times New Roman"/>
          <w:color w:val="000000"/>
        </w:rPr>
        <w:t>.</w:t>
      </w:r>
      <w:r w:rsidR="00B22D79" w:rsidRPr="0083115C">
        <w:rPr>
          <w:rFonts w:eastAsia="Times New Roman"/>
          <w:color w:val="000000"/>
        </w:rPr>
        <w:t xml:space="preserve"> </w:t>
      </w:r>
      <w:r w:rsidR="008C2614" w:rsidRPr="0083115C">
        <w:rPr>
          <w:rFonts w:eastAsia="Times New Roman"/>
          <w:color w:val="000000"/>
        </w:rPr>
        <w:t xml:space="preserve">Second, </w:t>
      </w:r>
      <w:r w:rsidR="0018297C" w:rsidRPr="0083115C">
        <w:rPr>
          <w:rFonts w:eastAsia="Times New Roman"/>
          <w:color w:val="000000"/>
        </w:rPr>
        <w:t xml:space="preserve">banks sensitive to regulatory pressures should </w:t>
      </w:r>
      <w:r w:rsidR="00025D9A" w:rsidRPr="0083115C">
        <w:rPr>
          <w:rFonts w:eastAsia="Times New Roman"/>
          <w:color w:val="000000"/>
        </w:rPr>
        <w:t xml:space="preserve">be more likely to </w:t>
      </w:r>
      <w:r w:rsidR="000959CF" w:rsidRPr="0083115C">
        <w:rPr>
          <w:rFonts w:eastAsia="Times New Roman"/>
          <w:color w:val="000000"/>
        </w:rPr>
        <w:t xml:space="preserve">appoint </w:t>
      </w:r>
      <w:r w:rsidR="00025D9A" w:rsidRPr="0083115C">
        <w:rPr>
          <w:rFonts w:eastAsia="Times New Roman"/>
          <w:color w:val="000000"/>
        </w:rPr>
        <w:t xml:space="preserve">CROs </w:t>
      </w:r>
      <w:r w:rsidR="0018297C" w:rsidRPr="0083115C">
        <w:rPr>
          <w:rFonts w:eastAsia="Times New Roman"/>
          <w:color w:val="000000"/>
        </w:rPr>
        <w:t>(Sutton and Dobbin 1996)</w:t>
      </w:r>
      <w:r w:rsidR="009114C5" w:rsidRPr="0083115C">
        <w:rPr>
          <w:rFonts w:eastAsia="Times New Roman"/>
          <w:color w:val="000000"/>
        </w:rPr>
        <w:t>.</w:t>
      </w:r>
      <w:r w:rsidR="0018297C" w:rsidRPr="0083115C">
        <w:rPr>
          <w:rFonts w:eastAsia="Times New Roman"/>
          <w:color w:val="000000"/>
        </w:rPr>
        <w:t xml:space="preserve"> </w:t>
      </w:r>
      <w:r w:rsidR="00025D9A" w:rsidRPr="0083115C">
        <w:rPr>
          <w:rFonts w:eastAsia="Times New Roman"/>
          <w:color w:val="000000"/>
        </w:rPr>
        <w:t xml:space="preserve">We </w:t>
      </w:r>
      <w:r w:rsidR="00621EB7" w:rsidRPr="0083115C">
        <w:rPr>
          <w:rFonts w:eastAsia="Times New Roman"/>
          <w:color w:val="000000"/>
        </w:rPr>
        <w:t xml:space="preserve">capture regulatory sensitivity </w:t>
      </w:r>
      <w:r w:rsidR="00F50C36" w:rsidRPr="0083115C">
        <w:rPr>
          <w:rFonts w:eastAsia="Times New Roman"/>
          <w:color w:val="000000"/>
        </w:rPr>
        <w:t xml:space="preserve">using a bank’s </w:t>
      </w:r>
      <w:r w:rsidR="00621EB7" w:rsidRPr="0083115C">
        <w:rPr>
          <w:rFonts w:eastAsia="Times New Roman"/>
          <w:color w:val="000000"/>
        </w:rPr>
        <w:t xml:space="preserve">previous appointment of other </w:t>
      </w:r>
      <w:r w:rsidR="0018297C" w:rsidRPr="0083115C">
        <w:rPr>
          <w:rFonts w:eastAsia="Times New Roman"/>
          <w:color w:val="000000"/>
        </w:rPr>
        <w:t>types of compliance officers</w:t>
      </w:r>
      <w:r w:rsidR="008C2614" w:rsidRPr="0083115C">
        <w:rPr>
          <w:rFonts w:eastAsia="Times New Roman"/>
          <w:color w:val="000000"/>
        </w:rPr>
        <w:t>.</w:t>
      </w:r>
      <w:r w:rsidR="008C2614">
        <w:rPr>
          <w:rFonts w:eastAsia="Times New Roman"/>
          <w:color w:val="000000"/>
        </w:rPr>
        <w:t xml:space="preserve"> </w:t>
      </w:r>
    </w:p>
    <w:p w14:paraId="1F81FF98" w14:textId="77777777" w:rsidR="00715E6F" w:rsidRPr="007C75EA" w:rsidRDefault="00715E6F" w:rsidP="00622847">
      <w:pPr>
        <w:spacing w:line="480" w:lineRule="auto"/>
        <w:ind w:firstLine="720"/>
      </w:pPr>
    </w:p>
    <w:p w14:paraId="06A7CF6D" w14:textId="31E70F16" w:rsidR="00E85675" w:rsidRPr="000A48FE" w:rsidRDefault="00EE1A02" w:rsidP="00622847">
      <w:pPr>
        <w:spacing w:line="480" w:lineRule="auto"/>
        <w:rPr>
          <w:b/>
        </w:rPr>
      </w:pPr>
      <w:r>
        <w:rPr>
          <w:b/>
        </w:rPr>
        <w:t xml:space="preserve">EXPERT </w:t>
      </w:r>
      <w:r w:rsidR="00FB1B5E">
        <w:rPr>
          <w:b/>
        </w:rPr>
        <w:t xml:space="preserve">CONSTRUCTION OF </w:t>
      </w:r>
      <w:r w:rsidR="00FB1B5E" w:rsidRPr="000A48FE">
        <w:rPr>
          <w:b/>
        </w:rPr>
        <w:t>ORGANIZATIONAL COMPLIANCE</w:t>
      </w:r>
    </w:p>
    <w:p w14:paraId="155B79A2" w14:textId="660C9852" w:rsidR="00050504" w:rsidRPr="00820019" w:rsidRDefault="005A1578" w:rsidP="00622847">
      <w:pPr>
        <w:spacing w:line="480" w:lineRule="auto"/>
      </w:pPr>
      <w:r>
        <w:tab/>
      </w:r>
      <w:r w:rsidR="0018297C">
        <w:t xml:space="preserve">Institutionalists argue that expert groups fashion </w:t>
      </w:r>
      <w:r w:rsidR="003A7C46">
        <w:t>regulatory co</w:t>
      </w:r>
      <w:r w:rsidR="003A7C46" w:rsidRPr="0025711D">
        <w:t>mpliance programs.</w:t>
      </w:r>
      <w:r w:rsidR="00F15D3B" w:rsidRPr="0025711D">
        <w:t xml:space="preserve"> </w:t>
      </w:r>
      <w:r w:rsidR="003A7C46" w:rsidRPr="0025711D">
        <w:t xml:space="preserve">Where the law is ambiguous, they </w:t>
      </w:r>
      <w:r w:rsidR="00AE3A67" w:rsidRPr="00153F17">
        <w:t>a</w:t>
      </w:r>
      <w:r w:rsidR="002D52D8" w:rsidRPr="00153F17">
        <w:t xml:space="preserve">ctively </w:t>
      </w:r>
      <w:r w:rsidR="003A7C46" w:rsidRPr="00153F17">
        <w:t xml:space="preserve">construct its </w:t>
      </w:r>
      <w:r w:rsidR="00E45CBE" w:rsidRPr="00153F17">
        <w:t>meaning</w:t>
      </w:r>
      <w:r w:rsidR="003A7C46" w:rsidRPr="00153F17">
        <w:t xml:space="preserve"> – </w:t>
      </w:r>
      <w:r w:rsidR="00AD32BE" w:rsidRPr="007B1F8C">
        <w:t>sometimes</w:t>
      </w:r>
      <w:r w:rsidR="003D2B6A" w:rsidRPr="007B1F8C">
        <w:t xml:space="preserve"> </w:t>
      </w:r>
      <w:r w:rsidR="003A7C46" w:rsidRPr="007B1F8C">
        <w:t>by rebranding</w:t>
      </w:r>
      <w:r w:rsidR="00874EAB" w:rsidRPr="007B1F8C">
        <w:t xml:space="preserve"> </w:t>
      </w:r>
      <w:r w:rsidR="003A7C46" w:rsidRPr="007B1F8C">
        <w:t>i</w:t>
      </w:r>
      <w:r w:rsidR="00562616" w:rsidRPr="007B1F8C">
        <w:t>tems</w:t>
      </w:r>
      <w:r w:rsidR="003A7C46" w:rsidRPr="007B1F8C">
        <w:t xml:space="preserve"> from their professional tool-kits as </w:t>
      </w:r>
      <w:r w:rsidR="00932D3B" w:rsidRPr="007B1F8C">
        <w:t xml:space="preserve">compliance </w:t>
      </w:r>
      <w:r w:rsidR="003A7C46" w:rsidRPr="007B1F8C">
        <w:t xml:space="preserve">solutions </w:t>
      </w:r>
      <w:r w:rsidR="00454632" w:rsidRPr="007B1F8C">
        <w:t>(</w:t>
      </w:r>
      <w:r w:rsidR="001F4068" w:rsidRPr="007B1F8C">
        <w:t>Edelman</w:t>
      </w:r>
      <w:r w:rsidR="00874EAB" w:rsidRPr="007B1F8C">
        <w:t xml:space="preserve"> 1990</w:t>
      </w:r>
      <w:r w:rsidR="001F4068" w:rsidRPr="007B1F8C">
        <w:t xml:space="preserve">; </w:t>
      </w:r>
      <w:r w:rsidR="00874EAB" w:rsidRPr="007B1F8C">
        <w:t>1992</w:t>
      </w:r>
      <w:r w:rsidR="00454632" w:rsidRPr="007B1F8C">
        <w:t xml:space="preserve">). </w:t>
      </w:r>
      <w:r w:rsidR="00107345" w:rsidRPr="007B1F8C">
        <w:t xml:space="preserve">Institutionalists have </w:t>
      </w:r>
      <w:r w:rsidR="007B1F8C" w:rsidRPr="007B1F8C">
        <w:t xml:space="preserve">drawn </w:t>
      </w:r>
      <w:r w:rsidR="00107345" w:rsidRPr="007B1F8C">
        <w:t xml:space="preserve">lessons </w:t>
      </w:r>
      <w:r w:rsidR="007B1F8C" w:rsidRPr="007B1F8C">
        <w:t xml:space="preserve">about the construction of compliance </w:t>
      </w:r>
      <w:r w:rsidR="00107345" w:rsidRPr="007B1F8C">
        <w:t xml:space="preserve">from the behavior of </w:t>
      </w:r>
      <w:r w:rsidR="001A0883" w:rsidRPr="007B1F8C">
        <w:t xml:space="preserve">experts drawn </w:t>
      </w:r>
      <w:r w:rsidR="008F64B8">
        <w:t>to their specialties through</w:t>
      </w:r>
      <w:r w:rsidR="00247C63" w:rsidRPr="007B1F8C">
        <w:t xml:space="preserve"> commitment to the </w:t>
      </w:r>
      <w:r w:rsidR="00F722EE" w:rsidRPr="007B1F8C">
        <w:t>same goals as</w:t>
      </w:r>
      <w:r w:rsidR="00247C63" w:rsidRPr="007B1F8C">
        <w:t xml:space="preserve"> regulators.</w:t>
      </w:r>
      <w:r w:rsidR="00F722EE" w:rsidRPr="007B1F8C">
        <w:t xml:space="preserve"> </w:t>
      </w:r>
      <w:r w:rsidR="007F04B4" w:rsidRPr="007B1F8C">
        <w:t>Equal</w:t>
      </w:r>
      <w:r w:rsidR="007F04B4" w:rsidRPr="0025711D">
        <w:t xml:space="preserve">-opportunity specialists </w:t>
      </w:r>
      <w:r w:rsidR="007F04B4" w:rsidRPr="0025711D">
        <w:lastRenderedPageBreak/>
        <w:t>brought the Civil Rights movement into the firm, advocat</w:t>
      </w:r>
      <w:r w:rsidR="00C85C56" w:rsidRPr="0025711D">
        <w:t>ing</w:t>
      </w:r>
      <w:r w:rsidR="007F04B4" w:rsidRPr="0025711D">
        <w:t xml:space="preserve"> for </w:t>
      </w:r>
      <w:r w:rsidR="009623E1">
        <w:t xml:space="preserve">reforms to </w:t>
      </w:r>
      <w:r w:rsidR="00C12671" w:rsidRPr="0025711D">
        <w:t>level the playing field for women and minorities</w:t>
      </w:r>
      <w:r w:rsidR="00E2331F">
        <w:t xml:space="preserve"> (Dobbin 2009)</w:t>
      </w:r>
      <w:r w:rsidR="00F73C0C" w:rsidRPr="0025711D">
        <w:t>. S</w:t>
      </w:r>
      <w:r w:rsidR="00E673CF" w:rsidRPr="0025711D">
        <w:t xml:space="preserve">afety engineers </w:t>
      </w:r>
      <w:r w:rsidR="00247C63">
        <w:t xml:space="preserve">charged with </w:t>
      </w:r>
      <w:r w:rsidR="00800162" w:rsidRPr="0025711D">
        <w:t xml:space="preserve">Occupational Safety and </w:t>
      </w:r>
      <w:r w:rsidR="00E673CF" w:rsidRPr="0025711D">
        <w:t>Health Act</w:t>
      </w:r>
      <w:r w:rsidR="00247C63">
        <w:t xml:space="preserve"> complianc</w:t>
      </w:r>
      <w:r w:rsidR="00EA4FD9">
        <w:t>e believed work could be safer, and t</w:t>
      </w:r>
      <w:r w:rsidR="00E2331F">
        <w:t xml:space="preserve">ax accountants </w:t>
      </w:r>
      <w:r w:rsidR="00247C63">
        <w:t xml:space="preserve">charged with </w:t>
      </w:r>
      <w:r w:rsidR="00E673CF" w:rsidRPr="0025711D">
        <w:t>Employee Retirement Income Security Act</w:t>
      </w:r>
      <w:r w:rsidR="00B62DC5">
        <w:t xml:space="preserve"> compliance</w:t>
      </w:r>
      <w:r w:rsidR="00E2331F">
        <w:t xml:space="preserve"> </w:t>
      </w:r>
      <w:r w:rsidR="00247C63">
        <w:t xml:space="preserve">were sticklers for strong fiduciary </w:t>
      </w:r>
      <w:r w:rsidR="00247C63" w:rsidRPr="00820019">
        <w:t>controls to protect pensions</w:t>
      </w:r>
      <w:r w:rsidR="00B62DC5" w:rsidRPr="00820019">
        <w:t xml:space="preserve">. </w:t>
      </w:r>
      <w:r w:rsidR="00E2331F" w:rsidRPr="00820019">
        <w:t xml:space="preserve">Environmental engineers </w:t>
      </w:r>
      <w:r w:rsidR="007B1F8C" w:rsidRPr="00820019">
        <w:t xml:space="preserve">charged with </w:t>
      </w:r>
      <w:r w:rsidR="00E673CF" w:rsidRPr="00820019">
        <w:t xml:space="preserve">Environmental Protection Act </w:t>
      </w:r>
      <w:r w:rsidR="00247C63" w:rsidRPr="00820019">
        <w:t xml:space="preserve">compliance were environmentalists </w:t>
      </w:r>
      <w:r w:rsidR="00BB0201" w:rsidRPr="00820019">
        <w:t xml:space="preserve">(Dobbin and Sutton </w:t>
      </w:r>
      <w:r w:rsidR="00633C33" w:rsidRPr="00820019">
        <w:t>1998</w:t>
      </w:r>
      <w:r w:rsidR="00800162" w:rsidRPr="00820019">
        <w:t xml:space="preserve">; </w:t>
      </w:r>
      <w:r w:rsidR="00633C33" w:rsidRPr="00820019">
        <w:t>Jennings and Zandbergen 1995).</w:t>
      </w:r>
      <w:r w:rsidR="00050504" w:rsidRPr="00820019">
        <w:t xml:space="preserve"> </w:t>
      </w:r>
    </w:p>
    <w:p w14:paraId="0AF0D4CE" w14:textId="77777777" w:rsidR="00DE19C1" w:rsidRDefault="00F855B3" w:rsidP="00622847">
      <w:pPr>
        <w:spacing w:line="480" w:lineRule="auto"/>
        <w:rPr>
          <w:highlight w:val="yellow"/>
        </w:rPr>
      </w:pPr>
      <w:r w:rsidRPr="00820019">
        <w:tab/>
      </w:r>
      <w:r w:rsidR="00330308" w:rsidRPr="00B2455C">
        <w:t>In</w:t>
      </w:r>
      <w:r w:rsidR="0025711D" w:rsidRPr="00B2455C">
        <w:t xml:space="preserve"> these cases</w:t>
      </w:r>
      <w:r w:rsidR="00330308" w:rsidRPr="00B2455C">
        <w:t xml:space="preserve">, </w:t>
      </w:r>
      <w:r w:rsidR="00815CE5" w:rsidRPr="00B2455C">
        <w:t xml:space="preserve">the </w:t>
      </w:r>
      <w:r w:rsidR="0025711D" w:rsidRPr="00B2455C">
        <w:t xml:space="preserve">objectives of </w:t>
      </w:r>
      <w:r w:rsidR="00247C63" w:rsidRPr="00B2455C">
        <w:t>government regulators</w:t>
      </w:r>
      <w:r w:rsidR="00026E76" w:rsidRPr="00B2455C">
        <w:t xml:space="preserve"> and </w:t>
      </w:r>
      <w:r w:rsidR="00247C63" w:rsidRPr="00B2455C">
        <w:t xml:space="preserve">compliance </w:t>
      </w:r>
      <w:r w:rsidR="00E2331F" w:rsidRPr="00B2455C">
        <w:t xml:space="preserve">experts </w:t>
      </w:r>
      <w:r w:rsidR="00247C63" w:rsidRPr="00B2455C">
        <w:t xml:space="preserve">within the firm </w:t>
      </w:r>
      <w:r w:rsidR="00CA348F" w:rsidRPr="00B2455C">
        <w:t xml:space="preserve">were </w:t>
      </w:r>
      <w:r w:rsidR="00E2331F" w:rsidRPr="00B2455C">
        <w:t>one</w:t>
      </w:r>
      <w:r w:rsidR="008F64B8" w:rsidRPr="00B2455C">
        <w:t>. However,</w:t>
      </w:r>
      <w:r w:rsidR="00CA348F" w:rsidRPr="00B2455C">
        <w:t xml:space="preserve"> it does not follow that this will always be the case. We suggest that correspondence between </w:t>
      </w:r>
      <w:r w:rsidR="008F64B8" w:rsidRPr="00B2455C">
        <w:t xml:space="preserve">the objectives of regulators and experts </w:t>
      </w:r>
      <w:r w:rsidR="00E75ED6" w:rsidRPr="00B2455C">
        <w:t>may vary</w:t>
      </w:r>
      <w:r w:rsidR="008F64B8" w:rsidRPr="00B2455C">
        <w:t xml:space="preserve"> across settings</w:t>
      </w:r>
      <w:r w:rsidR="00CA348F" w:rsidRPr="00B2455C">
        <w:t>, and</w:t>
      </w:r>
      <w:r w:rsidR="00921079" w:rsidRPr="00B2455C">
        <w:t xml:space="preserve"> that the </w:t>
      </w:r>
      <w:r w:rsidR="00E448A7" w:rsidRPr="00B2455C">
        <w:t xml:space="preserve">pre-existing </w:t>
      </w:r>
      <w:r w:rsidR="000B1001" w:rsidRPr="00B2455C">
        <w:t>agenda</w:t>
      </w:r>
      <w:r w:rsidR="00715EC8" w:rsidRPr="00B2455C">
        <w:t>s</w:t>
      </w:r>
      <w:r w:rsidR="00815CE5" w:rsidRPr="00B2455C">
        <w:t xml:space="preserve"> of compliance experts</w:t>
      </w:r>
      <w:r w:rsidR="00E448A7" w:rsidRPr="00B2455C">
        <w:t xml:space="preserve"> </w:t>
      </w:r>
      <w:r w:rsidR="00715EC8" w:rsidRPr="00B2455C">
        <w:t>matter</w:t>
      </w:r>
      <w:r w:rsidR="00265CED" w:rsidRPr="00B2455C">
        <w:t xml:space="preserve"> for</w:t>
      </w:r>
      <w:r w:rsidR="00715EC8" w:rsidRPr="00B2455C">
        <w:t xml:space="preserve"> </w:t>
      </w:r>
      <w:r w:rsidR="007B1F8C" w:rsidRPr="00B2455C">
        <w:t xml:space="preserve">the </w:t>
      </w:r>
      <w:r w:rsidR="00715EC8" w:rsidRPr="00B2455C">
        <w:t>results</w:t>
      </w:r>
      <w:r w:rsidR="007B1F8C" w:rsidRPr="00B2455C">
        <w:t xml:space="preserve"> that follow</w:t>
      </w:r>
      <w:r w:rsidR="000731CF" w:rsidRPr="00B2455C">
        <w:t xml:space="preserve">. </w:t>
      </w:r>
      <w:r w:rsidR="00674B8B" w:rsidRPr="00B2455C">
        <w:t>In</w:t>
      </w:r>
      <w:r w:rsidR="00674B8B" w:rsidRPr="00820019">
        <w:t xml:space="preserve"> our case, lawmakers</w:t>
      </w:r>
      <w:r w:rsidR="000B1001" w:rsidRPr="00820019">
        <w:t xml:space="preserve"> and </w:t>
      </w:r>
      <w:r w:rsidR="00A96C16" w:rsidRPr="00820019">
        <w:t xml:space="preserve">risk specialists </w:t>
      </w:r>
      <w:r w:rsidR="00AD7ED5" w:rsidRPr="00820019">
        <w:t xml:space="preserve">sought to accomplish the same broad goal: encouraging </w:t>
      </w:r>
      <w:r w:rsidR="000B1001" w:rsidRPr="00820019">
        <w:t>firms to adopt better</w:t>
      </w:r>
      <w:r w:rsidR="00187EF1" w:rsidRPr="00820019">
        <w:t>, more effective</w:t>
      </w:r>
      <w:r w:rsidR="000B1001" w:rsidRPr="00820019">
        <w:t xml:space="preserve"> risk management practices</w:t>
      </w:r>
      <w:r w:rsidR="00A96C16" w:rsidRPr="00820019">
        <w:t>.</w:t>
      </w:r>
      <w:r w:rsidR="000B1001" w:rsidRPr="00820019">
        <w:t xml:space="preserve"> </w:t>
      </w:r>
      <w:r w:rsidR="00FB0C81" w:rsidRPr="00820019">
        <w:t>But what “</w:t>
      </w:r>
      <w:r w:rsidR="00187EF1" w:rsidRPr="00820019">
        <w:t>effective</w:t>
      </w:r>
      <w:r w:rsidR="00FB0C81" w:rsidRPr="00820019">
        <w:t xml:space="preserve"> risk</w:t>
      </w:r>
      <w:r w:rsidR="00FB0C81">
        <w:t xml:space="preserve"> management”</w:t>
      </w:r>
      <w:r w:rsidR="00416570">
        <w:t xml:space="preserve"> entaile</w:t>
      </w:r>
      <w:r w:rsidR="006F3E6D">
        <w:t xml:space="preserve">d was a matter of interpretation. </w:t>
      </w:r>
      <w:r w:rsidR="000B1001">
        <w:t xml:space="preserve">While </w:t>
      </w:r>
      <w:r w:rsidR="00107345">
        <w:t>Congress sought to eliminate the possibility of catastrophic failure, r</w:t>
      </w:r>
      <w:r w:rsidR="00AC42B3">
        <w:t xml:space="preserve">isk specialists </w:t>
      </w:r>
      <w:r w:rsidR="003904AB">
        <w:t xml:space="preserve">were advocates for </w:t>
      </w:r>
      <w:r w:rsidR="00107345">
        <w:t xml:space="preserve">“maximizing risk-adjusted returns” in pursuit of shareholder value. </w:t>
      </w:r>
    </w:p>
    <w:p w14:paraId="25171F06" w14:textId="02B99168" w:rsidR="00FF3DCC" w:rsidRDefault="00DE19C1" w:rsidP="00622847">
      <w:pPr>
        <w:spacing w:line="480" w:lineRule="auto"/>
        <w:ind w:firstLine="720"/>
      </w:pPr>
      <w:r w:rsidRPr="00DE19C1">
        <w:t xml:space="preserve">In what follows, </w:t>
      </w:r>
      <w:r w:rsidR="00752D2F" w:rsidRPr="00DE19C1">
        <w:t xml:space="preserve">we </w:t>
      </w:r>
      <w:r w:rsidR="00107345" w:rsidRPr="00DE19C1">
        <w:t xml:space="preserve">detail the history of the </w:t>
      </w:r>
      <w:r w:rsidRPr="00DE19C1">
        <w:t xml:space="preserve">risk management </w:t>
      </w:r>
      <w:r w:rsidR="00107345" w:rsidRPr="00DE19C1">
        <w:t xml:space="preserve">specialty, and develop predictions for risk manager effects on derivatives use by banks. </w:t>
      </w:r>
      <w:r w:rsidR="00333B69" w:rsidRPr="00DE19C1">
        <w:t>We suggest that risk specialists appointed to new positions as CROs paradoxically</w:t>
      </w:r>
      <w:r w:rsidR="003B3650" w:rsidRPr="00DE19C1">
        <w:t xml:space="preserve"> increase</w:t>
      </w:r>
      <w:r w:rsidR="00333B69" w:rsidRPr="00DE19C1">
        <w:t>d</w:t>
      </w:r>
      <w:r w:rsidR="003B3650" w:rsidRPr="00DE19C1">
        <w:t xml:space="preserve"> risk by promoting </w:t>
      </w:r>
      <w:r w:rsidR="00F410D2" w:rsidRPr="00DE19C1">
        <w:t>new derivatives.</w:t>
      </w:r>
      <w:r w:rsidR="00F410D2" w:rsidRPr="009C27A2">
        <w:t xml:space="preserve"> </w:t>
      </w:r>
    </w:p>
    <w:p w14:paraId="1275334A" w14:textId="2E5225EA" w:rsidR="00633C33" w:rsidRDefault="00633C33" w:rsidP="00622847">
      <w:pPr>
        <w:spacing w:line="480" w:lineRule="auto"/>
      </w:pPr>
    </w:p>
    <w:p w14:paraId="6FA78E1A" w14:textId="70952B0B" w:rsidR="00FF3DCC" w:rsidRPr="00080D5F" w:rsidRDefault="00FF3DCC" w:rsidP="00622847">
      <w:pPr>
        <w:spacing w:line="480" w:lineRule="auto"/>
        <w:rPr>
          <w:b/>
        </w:rPr>
      </w:pPr>
      <w:r w:rsidRPr="00080D5F">
        <w:rPr>
          <w:b/>
        </w:rPr>
        <w:t xml:space="preserve">The Emergence and Agenda of Risk </w:t>
      </w:r>
      <w:r w:rsidR="0089051A" w:rsidRPr="00080D5F">
        <w:rPr>
          <w:b/>
        </w:rPr>
        <w:t>Experts</w:t>
      </w:r>
    </w:p>
    <w:p w14:paraId="68C379E6" w14:textId="77777777" w:rsidR="00ED52AC" w:rsidRPr="002E4ABC" w:rsidRDefault="00ED52AC" w:rsidP="00622847">
      <w:pPr>
        <w:spacing w:line="480" w:lineRule="auto"/>
        <w:rPr>
          <w:b/>
        </w:rPr>
      </w:pPr>
    </w:p>
    <w:p w14:paraId="3E66019E" w14:textId="60A4439B" w:rsidR="00F37F17" w:rsidRDefault="00CE7916" w:rsidP="00622847">
      <w:pPr>
        <w:spacing w:line="480" w:lineRule="auto"/>
        <w:ind w:firstLine="720"/>
        <w:rPr>
          <w:rFonts w:eastAsia="Times New Roman"/>
        </w:rPr>
      </w:pPr>
      <w:r w:rsidRPr="00662D31">
        <w:rPr>
          <w:rFonts w:eastAsia="Times New Roman"/>
        </w:rPr>
        <w:lastRenderedPageBreak/>
        <w:t>R</w:t>
      </w:r>
      <w:r w:rsidR="008B259D" w:rsidRPr="00662D31">
        <w:rPr>
          <w:rFonts w:eastAsia="Times New Roman"/>
        </w:rPr>
        <w:t xml:space="preserve">isk management experts </w:t>
      </w:r>
      <w:r w:rsidRPr="00662D31">
        <w:rPr>
          <w:rFonts w:eastAsia="Times New Roman"/>
        </w:rPr>
        <w:t xml:space="preserve">first rose to power in American banks </w:t>
      </w:r>
      <w:r w:rsidR="008B259D" w:rsidRPr="00662D31">
        <w:rPr>
          <w:rFonts w:eastAsia="Times New Roman"/>
        </w:rPr>
        <w:t xml:space="preserve">during the 1980s. </w:t>
      </w:r>
      <w:r w:rsidR="004F7E3E" w:rsidRPr="00662D31">
        <w:rPr>
          <w:rFonts w:eastAsia="Times New Roman"/>
        </w:rPr>
        <w:t xml:space="preserve">To </w:t>
      </w:r>
      <w:r w:rsidR="00776F60" w:rsidRPr="00662D31">
        <w:rPr>
          <w:rFonts w:eastAsia="Times New Roman"/>
        </w:rPr>
        <w:t xml:space="preserve">prevent a replay of the </w:t>
      </w:r>
      <w:r w:rsidR="00DD6BD9" w:rsidRPr="00662D31">
        <w:rPr>
          <w:rFonts w:eastAsia="Times New Roman"/>
        </w:rPr>
        <w:t>catastrophic losses</w:t>
      </w:r>
      <w:r w:rsidR="00B67B22" w:rsidRPr="00662D31">
        <w:rPr>
          <w:rFonts w:eastAsia="Times New Roman"/>
        </w:rPr>
        <w:t xml:space="preserve"> </w:t>
      </w:r>
      <w:r w:rsidR="00722D37" w:rsidRPr="00662D31">
        <w:rPr>
          <w:rFonts w:eastAsia="Times New Roman"/>
        </w:rPr>
        <w:t>from</w:t>
      </w:r>
      <w:r w:rsidR="00D45B46" w:rsidRPr="00662D31">
        <w:rPr>
          <w:rFonts w:eastAsia="Times New Roman"/>
        </w:rPr>
        <w:t xml:space="preserve"> the</w:t>
      </w:r>
      <w:r w:rsidR="00B67B22" w:rsidRPr="00662D31">
        <w:rPr>
          <w:rFonts w:eastAsia="Times New Roman"/>
        </w:rPr>
        <w:t xml:space="preserve"> Latin American</w:t>
      </w:r>
      <w:r w:rsidR="00D45B46" w:rsidRPr="00662D31">
        <w:rPr>
          <w:rFonts w:eastAsia="Times New Roman"/>
        </w:rPr>
        <w:t xml:space="preserve"> debt crisis</w:t>
      </w:r>
      <w:r w:rsidR="00F37F17" w:rsidRPr="00662D31">
        <w:rPr>
          <w:rFonts w:eastAsia="Times New Roman"/>
        </w:rPr>
        <w:t xml:space="preserve">, </w:t>
      </w:r>
      <w:r w:rsidR="00722D37" w:rsidRPr="00662D31">
        <w:rPr>
          <w:rFonts w:eastAsia="Times New Roman"/>
        </w:rPr>
        <w:t xml:space="preserve">the </w:t>
      </w:r>
      <w:r w:rsidR="00D45B46" w:rsidRPr="00662D31">
        <w:rPr>
          <w:rFonts w:eastAsia="Times New Roman"/>
        </w:rPr>
        <w:t xml:space="preserve">commercial real estate </w:t>
      </w:r>
      <w:r w:rsidR="00722D37" w:rsidRPr="00662D31">
        <w:rPr>
          <w:rFonts w:eastAsia="Times New Roman"/>
        </w:rPr>
        <w:t>bubble</w:t>
      </w:r>
      <w:r w:rsidR="00F37F17" w:rsidRPr="00662D31">
        <w:rPr>
          <w:rFonts w:eastAsia="Times New Roman"/>
        </w:rPr>
        <w:t xml:space="preserve">, and </w:t>
      </w:r>
      <w:r w:rsidR="00722D37" w:rsidRPr="00662D31">
        <w:rPr>
          <w:rFonts w:eastAsia="Times New Roman"/>
        </w:rPr>
        <w:t xml:space="preserve">sky-high </w:t>
      </w:r>
      <w:r w:rsidR="00F37F17" w:rsidRPr="00662D31">
        <w:rPr>
          <w:rFonts w:eastAsia="Times New Roman"/>
        </w:rPr>
        <w:t xml:space="preserve">interest rates, </w:t>
      </w:r>
      <w:r w:rsidR="008B259D" w:rsidRPr="00662D31">
        <w:rPr>
          <w:rFonts w:eastAsia="Times New Roman"/>
        </w:rPr>
        <w:t>banks appoint</w:t>
      </w:r>
      <w:r w:rsidR="0078609E" w:rsidRPr="00662D31">
        <w:rPr>
          <w:rFonts w:eastAsia="Times New Roman"/>
        </w:rPr>
        <w:t>ed</w:t>
      </w:r>
      <w:r w:rsidR="008B259D" w:rsidRPr="00662D31">
        <w:rPr>
          <w:rFonts w:eastAsia="Times New Roman"/>
        </w:rPr>
        <w:t xml:space="preserve"> </w:t>
      </w:r>
      <w:r w:rsidR="002C463C" w:rsidRPr="00662D31">
        <w:rPr>
          <w:rFonts w:eastAsia="Times New Roman"/>
        </w:rPr>
        <w:t xml:space="preserve">experts </w:t>
      </w:r>
      <w:r w:rsidR="008B259D" w:rsidRPr="00662D31">
        <w:rPr>
          <w:rFonts w:eastAsia="Times New Roman"/>
        </w:rPr>
        <w:t xml:space="preserve">to </w:t>
      </w:r>
      <w:r w:rsidR="00D74ACC" w:rsidRPr="00662D31">
        <w:rPr>
          <w:rFonts w:eastAsia="Times New Roman"/>
        </w:rPr>
        <w:t>keep a lid on</w:t>
      </w:r>
      <w:r w:rsidR="008B7D26" w:rsidRPr="00662D31">
        <w:rPr>
          <w:rFonts w:eastAsia="Times New Roman"/>
        </w:rPr>
        <w:t xml:space="preserve"> risk </w:t>
      </w:r>
      <w:r w:rsidR="008B259D" w:rsidRPr="00662D31">
        <w:rPr>
          <w:rFonts w:eastAsia="Times New Roman"/>
        </w:rPr>
        <w:t xml:space="preserve">(Wood 2002: 1). </w:t>
      </w:r>
      <w:r w:rsidR="00F37F17" w:rsidRPr="00662D31">
        <w:rPr>
          <w:rFonts w:eastAsia="Times New Roman"/>
        </w:rPr>
        <w:t xml:space="preserve">Yet </w:t>
      </w:r>
      <w:r w:rsidR="00786EE5" w:rsidRPr="00662D31">
        <w:rPr>
          <w:rFonts w:eastAsia="Times New Roman"/>
        </w:rPr>
        <w:t xml:space="preserve">as </w:t>
      </w:r>
      <w:r w:rsidR="00B67B22" w:rsidRPr="00662D31">
        <w:rPr>
          <w:rFonts w:eastAsia="Times New Roman"/>
        </w:rPr>
        <w:t xml:space="preserve">the </w:t>
      </w:r>
      <w:r w:rsidR="004025D4" w:rsidRPr="00662D31">
        <w:rPr>
          <w:rFonts w:eastAsia="Times New Roman"/>
        </w:rPr>
        <w:t xml:space="preserve">crises </w:t>
      </w:r>
      <w:r w:rsidR="00A45BE1" w:rsidRPr="00662D31">
        <w:rPr>
          <w:rFonts w:eastAsia="Times New Roman"/>
        </w:rPr>
        <w:t>recede</w:t>
      </w:r>
      <w:r w:rsidR="00B67B22" w:rsidRPr="00662D31">
        <w:rPr>
          <w:rFonts w:eastAsia="Times New Roman"/>
        </w:rPr>
        <w:t>d</w:t>
      </w:r>
      <w:r w:rsidR="00F42376" w:rsidRPr="00662D31">
        <w:rPr>
          <w:rFonts w:eastAsia="Times New Roman"/>
        </w:rPr>
        <w:t xml:space="preserve">, </w:t>
      </w:r>
      <w:r w:rsidR="00786EE5" w:rsidRPr="00662D31">
        <w:rPr>
          <w:rFonts w:eastAsia="Times New Roman"/>
        </w:rPr>
        <w:t>so did executive</w:t>
      </w:r>
      <w:r w:rsidR="004025D4" w:rsidRPr="00662D31">
        <w:rPr>
          <w:rFonts w:eastAsia="Times New Roman"/>
        </w:rPr>
        <w:t>s’</w:t>
      </w:r>
      <w:r w:rsidR="00786EE5" w:rsidRPr="00662D31">
        <w:rPr>
          <w:rFonts w:eastAsia="Times New Roman"/>
        </w:rPr>
        <w:t xml:space="preserve"> enthusiasm </w:t>
      </w:r>
      <w:r w:rsidR="002C463C" w:rsidRPr="00662D31">
        <w:rPr>
          <w:rFonts w:eastAsia="Times New Roman"/>
        </w:rPr>
        <w:t xml:space="preserve">for </w:t>
      </w:r>
      <w:r w:rsidR="008B259D" w:rsidRPr="00662D31">
        <w:rPr>
          <w:rFonts w:eastAsia="Times New Roman"/>
        </w:rPr>
        <w:t xml:space="preserve">risk management (Power 2005: 134). </w:t>
      </w:r>
      <w:r w:rsidR="009B2E65" w:rsidRPr="00662D31">
        <w:rPr>
          <w:rFonts w:eastAsia="Times New Roman"/>
        </w:rPr>
        <w:t>In the 1990s, a</w:t>
      </w:r>
      <w:r w:rsidR="00312F20" w:rsidRPr="00662D31">
        <w:rPr>
          <w:rFonts w:eastAsia="Times New Roman"/>
        </w:rPr>
        <w:t xml:space="preserve"> group </w:t>
      </w:r>
      <w:r w:rsidR="003E2FD3" w:rsidRPr="00662D31">
        <w:rPr>
          <w:rFonts w:eastAsia="Times New Roman"/>
        </w:rPr>
        <w:t xml:space="preserve">of risk experts </w:t>
      </w:r>
      <w:r w:rsidR="00F66406" w:rsidRPr="00662D31">
        <w:rPr>
          <w:rFonts w:eastAsia="Times New Roman"/>
        </w:rPr>
        <w:t xml:space="preserve">promoted </w:t>
      </w:r>
      <w:r w:rsidR="008B259D" w:rsidRPr="00662D31">
        <w:rPr>
          <w:rFonts w:eastAsia="Times New Roman"/>
        </w:rPr>
        <w:t>a ne</w:t>
      </w:r>
      <w:r w:rsidR="005953CE" w:rsidRPr="00662D31">
        <w:rPr>
          <w:rFonts w:eastAsia="Times New Roman"/>
        </w:rPr>
        <w:t xml:space="preserve">w approach </w:t>
      </w:r>
      <w:r w:rsidR="00A45BE1" w:rsidRPr="00662D31">
        <w:rPr>
          <w:rFonts w:eastAsia="Times New Roman"/>
        </w:rPr>
        <w:t>-</w:t>
      </w:r>
      <w:r w:rsidR="002C463C" w:rsidRPr="00662D31">
        <w:rPr>
          <w:rFonts w:eastAsia="Times New Roman"/>
        </w:rPr>
        <w:t>-</w:t>
      </w:r>
      <w:r w:rsidR="005953CE" w:rsidRPr="00662D31">
        <w:rPr>
          <w:rFonts w:eastAsia="Times New Roman"/>
        </w:rPr>
        <w:t xml:space="preserve"> </w:t>
      </w:r>
      <w:r w:rsidR="008B259D" w:rsidRPr="00662D31">
        <w:rPr>
          <w:rFonts w:eastAsia="Times New Roman"/>
        </w:rPr>
        <w:t>ent</w:t>
      </w:r>
      <w:r w:rsidR="00A45BE1" w:rsidRPr="00662D31">
        <w:rPr>
          <w:rFonts w:eastAsia="Times New Roman"/>
        </w:rPr>
        <w:t>erprise risk management (ERM) -</w:t>
      </w:r>
      <w:r w:rsidR="002C463C" w:rsidRPr="00662D31">
        <w:rPr>
          <w:rFonts w:eastAsia="Times New Roman"/>
        </w:rPr>
        <w:t>-</w:t>
      </w:r>
      <w:r w:rsidR="00A45BE1" w:rsidRPr="00662D31">
        <w:rPr>
          <w:rFonts w:eastAsia="Times New Roman"/>
        </w:rPr>
        <w:t xml:space="preserve"> </w:t>
      </w:r>
      <w:r w:rsidR="008F33D3" w:rsidRPr="00662D31">
        <w:rPr>
          <w:rFonts w:eastAsia="Times New Roman"/>
        </w:rPr>
        <w:t xml:space="preserve">and framed this approach </w:t>
      </w:r>
      <w:r w:rsidR="00EB7875" w:rsidRPr="00662D31">
        <w:rPr>
          <w:rFonts w:eastAsia="Times New Roman"/>
        </w:rPr>
        <w:t xml:space="preserve">as a </w:t>
      </w:r>
      <w:r w:rsidR="00662D31" w:rsidRPr="00662D31">
        <w:rPr>
          <w:rFonts w:eastAsia="Times New Roman"/>
        </w:rPr>
        <w:t xml:space="preserve">strategy to </w:t>
      </w:r>
      <w:r w:rsidR="00EB7875" w:rsidRPr="00662D31">
        <w:rPr>
          <w:rFonts w:eastAsia="Times New Roman"/>
        </w:rPr>
        <w:t>enhance shareholder value</w:t>
      </w:r>
      <w:r w:rsidR="00014F92">
        <w:rPr>
          <w:rFonts w:eastAsia="Times New Roman"/>
        </w:rPr>
        <w:t xml:space="preserve"> (Wood 2002)</w:t>
      </w:r>
      <w:r w:rsidR="00F56F93" w:rsidRPr="00662D31">
        <w:t xml:space="preserve">. </w:t>
      </w:r>
      <w:r w:rsidR="002C463C" w:rsidRPr="00662D31">
        <w:t xml:space="preserve">ERM involved </w:t>
      </w:r>
      <w:proofErr w:type="gramStart"/>
      <w:r w:rsidR="007B08F2" w:rsidRPr="00662D31">
        <w:t>modeling,</w:t>
      </w:r>
      <w:proofErr w:type="gramEnd"/>
      <w:r w:rsidR="007B08F2" w:rsidRPr="00662D31">
        <w:t xml:space="preserve"> assessing, and managing </w:t>
      </w:r>
      <w:r w:rsidR="00602B0D" w:rsidRPr="00662D31">
        <w:t xml:space="preserve">risk </w:t>
      </w:r>
      <w:r w:rsidR="002C463C" w:rsidRPr="00662D31">
        <w:t xml:space="preserve">across </w:t>
      </w:r>
      <w:r w:rsidR="00602B0D" w:rsidRPr="00662D31">
        <w:t>the entire firm</w:t>
      </w:r>
      <w:r w:rsidR="002C463C" w:rsidRPr="00662D31">
        <w:t xml:space="preserve">, </w:t>
      </w:r>
      <w:r w:rsidR="00DA08F3" w:rsidRPr="00662D31">
        <w:t xml:space="preserve">with the goal of </w:t>
      </w:r>
      <w:r w:rsidR="00D92DAE" w:rsidRPr="00662D31">
        <w:t xml:space="preserve">reallocating </w:t>
      </w:r>
      <w:r w:rsidR="007B162A" w:rsidRPr="00662D31">
        <w:t xml:space="preserve">and recalibrating </w:t>
      </w:r>
      <w:r w:rsidR="00662D31">
        <w:t xml:space="preserve">aggregated </w:t>
      </w:r>
      <w:r w:rsidR="00DA08F3" w:rsidRPr="00662D31">
        <w:t xml:space="preserve">risk to </w:t>
      </w:r>
      <w:r w:rsidR="00132B56" w:rsidRPr="00662D31">
        <w:t>“maximiz</w:t>
      </w:r>
      <w:r w:rsidR="00DA08F3" w:rsidRPr="00662D31">
        <w:t>e</w:t>
      </w:r>
      <w:r w:rsidR="00132B56" w:rsidRPr="00662D31">
        <w:t xml:space="preserve"> risk-adjusted returns” </w:t>
      </w:r>
      <w:r w:rsidR="007B162A" w:rsidRPr="00662D31">
        <w:rPr>
          <w:rFonts w:eastAsia="Times New Roman"/>
        </w:rPr>
        <w:t>(Wood 2002; Power 2005).</w:t>
      </w:r>
    </w:p>
    <w:p w14:paraId="1AC5837E" w14:textId="3A31D375" w:rsidR="001A72BD" w:rsidRDefault="007B162A" w:rsidP="00622847">
      <w:pPr>
        <w:spacing w:line="480" w:lineRule="auto"/>
        <w:ind w:firstLine="720"/>
        <w:rPr>
          <w:rFonts w:eastAsia="Times New Roman"/>
        </w:rPr>
      </w:pPr>
      <w:r w:rsidRPr="009563CF">
        <w:rPr>
          <w:rFonts w:eastAsia="Times New Roman"/>
        </w:rPr>
        <w:t xml:space="preserve">In emphasizing </w:t>
      </w:r>
      <w:r>
        <w:rPr>
          <w:rFonts w:eastAsia="Times New Roman"/>
        </w:rPr>
        <w:t xml:space="preserve">how </w:t>
      </w:r>
      <w:r w:rsidRPr="009563CF">
        <w:rPr>
          <w:rFonts w:eastAsia="Times New Roman"/>
        </w:rPr>
        <w:t xml:space="preserve">risk management </w:t>
      </w:r>
      <w:r>
        <w:rPr>
          <w:rFonts w:eastAsia="Times New Roman"/>
        </w:rPr>
        <w:t xml:space="preserve">can promote shareholder value, risk </w:t>
      </w:r>
      <w:r w:rsidRPr="00DD6BD9">
        <w:rPr>
          <w:rFonts w:eastAsia="Times New Roman"/>
        </w:rPr>
        <w:t>experts</w:t>
      </w:r>
      <w:r>
        <w:rPr>
          <w:rFonts w:eastAsia="Times New Roman"/>
        </w:rPr>
        <w:t xml:space="preserve"> </w:t>
      </w:r>
      <w:r w:rsidRPr="009563CF">
        <w:rPr>
          <w:rFonts w:eastAsia="Times New Roman"/>
        </w:rPr>
        <w:t xml:space="preserve">followed a time-honored strategy </w:t>
      </w:r>
      <w:r w:rsidR="00F66406">
        <w:rPr>
          <w:rFonts w:eastAsia="Times New Roman"/>
        </w:rPr>
        <w:t xml:space="preserve">among groups peripheral to the mission of the corporation, of linking </w:t>
      </w:r>
      <w:r>
        <w:rPr>
          <w:rFonts w:eastAsia="Times New Roman"/>
        </w:rPr>
        <w:t xml:space="preserve">their professional project to a key goal </w:t>
      </w:r>
      <w:r w:rsidRPr="009563CF">
        <w:rPr>
          <w:rFonts w:eastAsia="Times New Roman"/>
        </w:rPr>
        <w:t xml:space="preserve">(Ashforth and Kreiner 1999; Dobbin and Sutton 1998; Zorn 2004). </w:t>
      </w:r>
      <w:r>
        <w:rPr>
          <w:rFonts w:eastAsia="Times New Roman"/>
        </w:rPr>
        <w:t xml:space="preserve">Their intent was </w:t>
      </w:r>
      <w:r w:rsidRPr="009563CF">
        <w:rPr>
          <w:rFonts w:eastAsia="Times New Roman"/>
        </w:rPr>
        <w:t xml:space="preserve">to </w:t>
      </w:r>
      <w:r w:rsidR="00121DCF">
        <w:rPr>
          <w:rFonts w:eastAsia="Times New Roman"/>
        </w:rPr>
        <w:t xml:space="preserve">demonstrate that </w:t>
      </w:r>
      <w:r w:rsidRPr="009563CF">
        <w:rPr>
          <w:rFonts w:eastAsia="Times New Roman"/>
        </w:rPr>
        <w:t xml:space="preserve">risk management </w:t>
      </w:r>
      <w:r w:rsidR="00121DCF">
        <w:rPr>
          <w:rFonts w:eastAsia="Times New Roman"/>
        </w:rPr>
        <w:t xml:space="preserve">could enhance </w:t>
      </w:r>
      <w:r>
        <w:rPr>
          <w:rFonts w:eastAsia="Times New Roman"/>
        </w:rPr>
        <w:t>profitab</w:t>
      </w:r>
      <w:r w:rsidR="00121DCF">
        <w:rPr>
          <w:rFonts w:eastAsia="Times New Roman"/>
        </w:rPr>
        <w:t>ility</w:t>
      </w:r>
      <w:r>
        <w:rPr>
          <w:rFonts w:eastAsia="Times New Roman"/>
        </w:rPr>
        <w:t xml:space="preserve"> </w:t>
      </w:r>
      <w:r w:rsidRPr="009563CF">
        <w:rPr>
          <w:rFonts w:eastAsia="Times New Roman"/>
        </w:rPr>
        <w:t>(Wood 2002: 2; see also Power 2005).</w:t>
      </w:r>
      <w:r w:rsidR="00F66406">
        <w:rPr>
          <w:rFonts w:eastAsia="Times New Roman"/>
        </w:rPr>
        <w:t xml:space="preserve"> </w:t>
      </w:r>
      <w:r w:rsidRPr="009563CF">
        <w:rPr>
          <w:rFonts w:eastAsia="Times New Roman"/>
        </w:rPr>
        <w:t xml:space="preserve">However, in </w:t>
      </w:r>
      <w:r>
        <w:rPr>
          <w:rFonts w:eastAsia="Times New Roman"/>
        </w:rPr>
        <w:t xml:space="preserve">focusing on </w:t>
      </w:r>
      <w:r w:rsidRPr="009563CF">
        <w:rPr>
          <w:rFonts w:eastAsia="Times New Roman"/>
        </w:rPr>
        <w:t xml:space="preserve">shareholder value, </w:t>
      </w:r>
      <w:r>
        <w:rPr>
          <w:rFonts w:eastAsia="Times New Roman"/>
        </w:rPr>
        <w:t xml:space="preserve">experts </w:t>
      </w:r>
      <w:r w:rsidR="00014F92">
        <w:rPr>
          <w:rFonts w:eastAsia="Times New Roman"/>
        </w:rPr>
        <w:t xml:space="preserve">also </w:t>
      </w:r>
      <w:r w:rsidRPr="009563CF">
        <w:rPr>
          <w:rFonts w:eastAsia="Times New Roman"/>
        </w:rPr>
        <w:t xml:space="preserve">changed the purpose of risk management. </w:t>
      </w:r>
      <w:r>
        <w:rPr>
          <w:rFonts w:eastAsia="Times New Roman"/>
        </w:rPr>
        <w:t>R</w:t>
      </w:r>
      <w:r w:rsidRPr="009563CF">
        <w:rPr>
          <w:rFonts w:eastAsia="Times New Roman"/>
        </w:rPr>
        <w:t xml:space="preserve">isk experts </w:t>
      </w:r>
      <w:r>
        <w:rPr>
          <w:rFonts w:eastAsia="Times New Roman"/>
        </w:rPr>
        <w:t xml:space="preserve">had previously thought their duty was </w:t>
      </w:r>
      <w:r w:rsidRPr="009563CF">
        <w:rPr>
          <w:rFonts w:eastAsia="Times New Roman"/>
        </w:rPr>
        <w:t>to minimize costs, prevent majo</w:t>
      </w:r>
      <w:r w:rsidR="00323E36">
        <w:rPr>
          <w:rFonts w:eastAsia="Times New Roman"/>
        </w:rPr>
        <w:t>r losses, and avoid catastrophe (Wood 2002). N</w:t>
      </w:r>
      <w:r w:rsidR="00014F92">
        <w:rPr>
          <w:rFonts w:eastAsia="Times New Roman"/>
        </w:rPr>
        <w:t xml:space="preserve">ow the goal of </w:t>
      </w:r>
      <w:r w:rsidR="00014F92" w:rsidRPr="00323E36">
        <w:rPr>
          <w:rFonts w:eastAsia="Times New Roman"/>
          <w:i/>
        </w:rPr>
        <w:t>avoiding</w:t>
      </w:r>
      <w:r w:rsidR="00014F92">
        <w:rPr>
          <w:rFonts w:eastAsia="Times New Roman"/>
        </w:rPr>
        <w:t xml:space="preserve"> risk </w:t>
      </w:r>
      <w:r w:rsidR="00323E36">
        <w:rPr>
          <w:rFonts w:eastAsia="Times New Roman"/>
        </w:rPr>
        <w:t xml:space="preserve">was </w:t>
      </w:r>
      <w:r>
        <w:rPr>
          <w:rFonts w:eastAsia="Times New Roman"/>
        </w:rPr>
        <w:t xml:space="preserve">supplanted </w:t>
      </w:r>
      <w:r w:rsidR="0076635A">
        <w:rPr>
          <w:rFonts w:eastAsia="Times New Roman"/>
        </w:rPr>
        <w:t xml:space="preserve">by </w:t>
      </w:r>
      <w:r>
        <w:rPr>
          <w:rFonts w:eastAsia="Times New Roman"/>
        </w:rPr>
        <w:t xml:space="preserve">the goal of </w:t>
      </w:r>
      <w:r w:rsidRPr="00323E36">
        <w:rPr>
          <w:rFonts w:eastAsia="Times New Roman"/>
          <w:i/>
        </w:rPr>
        <w:t>optimizing</w:t>
      </w:r>
      <w:r>
        <w:rPr>
          <w:rFonts w:eastAsia="Times New Roman"/>
        </w:rPr>
        <w:t xml:space="preserve"> risk </w:t>
      </w:r>
      <w:r w:rsidRPr="00DC17C9">
        <w:rPr>
          <w:rFonts w:eastAsia="Times New Roman"/>
        </w:rPr>
        <w:t>(Nocco and Stulz 2006</w:t>
      </w:r>
      <w:r w:rsidRPr="002E4ABC">
        <w:rPr>
          <w:rFonts w:eastAsia="Times New Roman"/>
        </w:rPr>
        <w:t xml:space="preserve">). </w:t>
      </w:r>
    </w:p>
    <w:p w14:paraId="77EEE6CB" w14:textId="4BA5A367" w:rsidR="007B162A" w:rsidRPr="00045449" w:rsidRDefault="001A72BD" w:rsidP="002B5A64">
      <w:pPr>
        <w:spacing w:line="480" w:lineRule="auto"/>
        <w:ind w:firstLine="720"/>
        <w:rPr>
          <w:rFonts w:eastAsia="Times New Roman"/>
        </w:rPr>
      </w:pPr>
      <w:r w:rsidRPr="00080D5F">
        <w:rPr>
          <w:rFonts w:eastAsia="Times New Roman"/>
        </w:rPr>
        <w:t>Shareholder value proponents had argued that the malaise of the 1970s was the fault of overly cautious managers. O</w:t>
      </w:r>
      <w:r w:rsidRPr="00080D5F">
        <w:t xml:space="preserve">ne solution was to encourage executives to take risks to boost the value of their companies. </w:t>
      </w:r>
      <w:r w:rsidR="0076635A" w:rsidRPr="00080D5F">
        <w:t xml:space="preserve">Because erring </w:t>
      </w:r>
      <w:r w:rsidRPr="00080D5F">
        <w:rPr>
          <w:rFonts w:eastAsia="Times New Roman"/>
        </w:rPr>
        <w:t xml:space="preserve">on the side of caution </w:t>
      </w:r>
      <w:r w:rsidR="0076635A" w:rsidRPr="00080D5F">
        <w:rPr>
          <w:rFonts w:eastAsia="Times New Roman"/>
        </w:rPr>
        <w:t xml:space="preserve">was </w:t>
      </w:r>
      <w:r w:rsidRPr="00080D5F">
        <w:rPr>
          <w:rFonts w:eastAsia="Times New Roman"/>
        </w:rPr>
        <w:t xml:space="preserve">the </w:t>
      </w:r>
      <w:r w:rsidR="0076635A" w:rsidRPr="00080D5F">
        <w:rPr>
          <w:rFonts w:eastAsia="Times New Roman"/>
        </w:rPr>
        <w:t xml:space="preserve">very </w:t>
      </w:r>
      <w:r w:rsidRPr="00080D5F">
        <w:rPr>
          <w:rFonts w:eastAsia="Times New Roman"/>
        </w:rPr>
        <w:t xml:space="preserve">problem that the shareholder value </w:t>
      </w:r>
      <w:r w:rsidR="0076635A" w:rsidRPr="00080D5F">
        <w:rPr>
          <w:rFonts w:eastAsia="Times New Roman"/>
        </w:rPr>
        <w:t xml:space="preserve">paradigm was supposed </w:t>
      </w:r>
      <w:r w:rsidRPr="00080D5F">
        <w:rPr>
          <w:rFonts w:eastAsia="Times New Roman"/>
        </w:rPr>
        <w:t>to address</w:t>
      </w:r>
      <w:r w:rsidR="0076635A" w:rsidRPr="00080D5F">
        <w:rPr>
          <w:rFonts w:eastAsia="Times New Roman"/>
        </w:rPr>
        <w:t xml:space="preserve">, </w:t>
      </w:r>
      <w:r w:rsidR="007B162A" w:rsidRPr="00121DCF">
        <w:rPr>
          <w:rFonts w:eastAsia="Times New Roman"/>
        </w:rPr>
        <w:t>the</w:t>
      </w:r>
      <w:r w:rsidR="007B162A" w:rsidRPr="00064A71">
        <w:rPr>
          <w:rFonts w:eastAsia="Times New Roman"/>
        </w:rPr>
        <w:t xml:space="preserve"> </w:t>
      </w:r>
      <w:r w:rsidR="007B162A">
        <w:rPr>
          <w:rFonts w:eastAsia="Times New Roman"/>
        </w:rPr>
        <w:t>idea</w:t>
      </w:r>
      <w:r w:rsidR="007B162A" w:rsidRPr="00064A71">
        <w:rPr>
          <w:rFonts w:eastAsia="Times New Roman"/>
        </w:rPr>
        <w:t xml:space="preserve"> of managing risk to </w:t>
      </w:r>
      <w:r w:rsidR="00323E36">
        <w:rPr>
          <w:rFonts w:eastAsia="Times New Roman"/>
        </w:rPr>
        <w:t xml:space="preserve">minimize the </w:t>
      </w:r>
      <w:r w:rsidR="007B162A">
        <w:rPr>
          <w:rFonts w:eastAsia="Times New Roman"/>
        </w:rPr>
        <w:t xml:space="preserve">chance of distress </w:t>
      </w:r>
      <w:r w:rsidR="0076635A">
        <w:rPr>
          <w:rFonts w:eastAsia="Times New Roman"/>
        </w:rPr>
        <w:t xml:space="preserve">seemed to violate </w:t>
      </w:r>
      <w:r w:rsidR="007B162A" w:rsidRPr="00064A71">
        <w:rPr>
          <w:rFonts w:eastAsia="Times New Roman"/>
        </w:rPr>
        <w:t>shareholder interests</w:t>
      </w:r>
      <w:r w:rsidR="007B162A" w:rsidRPr="00B2455C">
        <w:rPr>
          <w:rFonts w:eastAsia="Times New Roman"/>
        </w:rPr>
        <w:t xml:space="preserve">. </w:t>
      </w:r>
      <w:r w:rsidR="00F66406" w:rsidRPr="00B2455C">
        <w:rPr>
          <w:rFonts w:eastAsia="Times New Roman"/>
        </w:rPr>
        <w:t>R</w:t>
      </w:r>
      <w:r w:rsidR="00B76F1D" w:rsidRPr="00B2455C">
        <w:rPr>
          <w:rFonts w:eastAsia="Times New Roman"/>
        </w:rPr>
        <w:t xml:space="preserve">isk </w:t>
      </w:r>
      <w:r w:rsidR="007B162A" w:rsidRPr="00B2455C">
        <w:rPr>
          <w:rFonts w:eastAsia="Times New Roman"/>
        </w:rPr>
        <w:t xml:space="preserve">experts </w:t>
      </w:r>
      <w:r w:rsidR="00CB7808" w:rsidRPr="00B2455C">
        <w:rPr>
          <w:rFonts w:eastAsia="Times New Roman"/>
        </w:rPr>
        <w:t xml:space="preserve">now defined </w:t>
      </w:r>
      <w:r w:rsidR="00B76F1D" w:rsidRPr="00B2455C">
        <w:rPr>
          <w:rFonts w:eastAsia="Times New Roman"/>
        </w:rPr>
        <w:t xml:space="preserve">their work </w:t>
      </w:r>
      <w:r w:rsidR="00B76F1D" w:rsidRPr="00B2455C">
        <w:rPr>
          <w:rFonts w:eastAsia="Times New Roman"/>
        </w:rPr>
        <w:lastRenderedPageBreak/>
        <w:t xml:space="preserve">as </w:t>
      </w:r>
      <w:r w:rsidR="00323E36" w:rsidRPr="00B2455C">
        <w:rPr>
          <w:rFonts w:eastAsia="Times New Roman"/>
        </w:rPr>
        <w:t xml:space="preserve">maximizing bank </w:t>
      </w:r>
      <w:r w:rsidR="00B76F1D" w:rsidRPr="00B2455C">
        <w:rPr>
          <w:rFonts w:eastAsia="Times New Roman"/>
        </w:rPr>
        <w:t>profitability</w:t>
      </w:r>
      <w:r w:rsidR="002065EB" w:rsidRPr="00B2455C">
        <w:rPr>
          <w:rFonts w:eastAsia="Times New Roman"/>
        </w:rPr>
        <w:t xml:space="preserve">, while remaining mindful </w:t>
      </w:r>
      <w:r w:rsidR="00820019" w:rsidRPr="00B2455C">
        <w:rPr>
          <w:rFonts w:eastAsia="Times New Roman"/>
        </w:rPr>
        <w:t xml:space="preserve">of risk </w:t>
      </w:r>
      <w:r w:rsidR="007B162A" w:rsidRPr="00B2455C">
        <w:rPr>
          <w:rFonts w:eastAsia="Times New Roman"/>
        </w:rPr>
        <w:t>(Banham</w:t>
      </w:r>
      <w:r w:rsidR="007B162A" w:rsidRPr="00416BCD">
        <w:rPr>
          <w:rFonts w:eastAsia="Times New Roman"/>
        </w:rPr>
        <w:t xml:space="preserve"> 2004: 6)</w:t>
      </w:r>
      <w:r w:rsidR="00B62DC5">
        <w:rPr>
          <w:rFonts w:eastAsia="Times New Roman"/>
        </w:rPr>
        <w:t xml:space="preserve">. </w:t>
      </w:r>
      <w:r w:rsidR="00B76F1D">
        <w:rPr>
          <w:rFonts w:eastAsia="Times New Roman"/>
        </w:rPr>
        <w:t xml:space="preserve">As </w:t>
      </w:r>
      <w:r w:rsidR="007B162A">
        <w:rPr>
          <w:rFonts w:eastAsia="Times New Roman"/>
        </w:rPr>
        <w:t xml:space="preserve">two risk </w:t>
      </w:r>
      <w:r w:rsidR="008B3EC7">
        <w:rPr>
          <w:rFonts w:eastAsia="Times New Roman"/>
        </w:rPr>
        <w:t>experts</w:t>
      </w:r>
      <w:r w:rsidR="007B162A">
        <w:rPr>
          <w:rFonts w:eastAsia="Times New Roman"/>
        </w:rPr>
        <w:t xml:space="preserve"> argued</w:t>
      </w:r>
      <w:proofErr w:type="gramStart"/>
      <w:r w:rsidR="007B162A">
        <w:rPr>
          <w:rFonts w:eastAsia="Times New Roman"/>
        </w:rPr>
        <w:t>;</w:t>
      </w:r>
      <w:proofErr w:type="gramEnd"/>
      <w:r w:rsidR="007B162A">
        <w:rPr>
          <w:rFonts w:eastAsia="Times New Roman"/>
        </w:rPr>
        <w:t xml:space="preserve"> </w:t>
      </w:r>
    </w:p>
    <w:p w14:paraId="0EDB00CE" w14:textId="0B652DE6" w:rsidR="007B162A" w:rsidRDefault="007B162A" w:rsidP="00CC711C">
      <w:pPr>
        <w:ind w:left="720" w:right="1440"/>
        <w:jc w:val="both"/>
        <w:rPr>
          <w:rFonts w:eastAsia="Times New Roman"/>
        </w:rPr>
      </w:pPr>
      <w:r w:rsidRPr="00045449">
        <w:rPr>
          <w:rFonts w:eastAsia="Times New Roman"/>
        </w:rPr>
        <w:t xml:space="preserve">What [risk] management can accomplish through an ERM program, then, is not to minimize or eliminate, but rather to limit, the probability of distress to a level that management and the board agrees is likely to maximize firm value. </w:t>
      </w:r>
      <w:r w:rsidRPr="008C3F54">
        <w:rPr>
          <w:rFonts w:eastAsia="Times New Roman"/>
        </w:rPr>
        <w:t xml:space="preserve">Minimizing the probability of distress…is clearly not in the interests of shareholders. </w:t>
      </w:r>
      <w:r w:rsidRPr="00FC35DC">
        <w:t>Management’s job is rather to optimize the firm’s risk portfolio</w:t>
      </w:r>
      <w:r w:rsidRPr="003C1ECC">
        <w:rPr>
          <w:rFonts w:eastAsia="Times New Roman"/>
          <w:i/>
        </w:rPr>
        <w:t xml:space="preserve"> </w:t>
      </w:r>
      <w:r w:rsidRPr="003C1ECC">
        <w:rPr>
          <w:rFonts w:eastAsia="Times New Roman"/>
        </w:rPr>
        <w:t>(Nocco and Stulz 2006: 11).</w:t>
      </w:r>
    </w:p>
    <w:p w14:paraId="439E999C" w14:textId="77777777" w:rsidR="00CC711C" w:rsidRPr="003C1ECC" w:rsidRDefault="00CC711C" w:rsidP="00CC711C">
      <w:pPr>
        <w:ind w:left="720" w:right="720"/>
        <w:jc w:val="both"/>
        <w:rPr>
          <w:rFonts w:eastAsia="Times New Roman"/>
        </w:rPr>
      </w:pPr>
    </w:p>
    <w:p w14:paraId="02BA9CE1" w14:textId="4B7EAF9E" w:rsidR="007B162A" w:rsidRPr="005035E6" w:rsidRDefault="007B162A" w:rsidP="00622847">
      <w:pPr>
        <w:spacing w:line="480" w:lineRule="auto"/>
        <w:rPr>
          <w:rFonts w:eastAsia="Times New Roman"/>
          <w:b/>
        </w:rPr>
      </w:pPr>
      <w:r w:rsidRPr="006114A4">
        <w:rPr>
          <w:rFonts w:eastAsia="Times New Roman"/>
        </w:rPr>
        <w:t>Thus</w:t>
      </w:r>
      <w:r w:rsidR="00CB7808" w:rsidRPr="006114A4">
        <w:rPr>
          <w:rFonts w:eastAsia="Times New Roman"/>
        </w:rPr>
        <w:t xml:space="preserve"> before the first CRO was named, </w:t>
      </w:r>
      <w:r w:rsidR="00B62DC5" w:rsidRPr="006114A4">
        <w:rPr>
          <w:rFonts w:eastAsia="Times New Roman"/>
        </w:rPr>
        <w:t>risk manager</w:t>
      </w:r>
      <w:r w:rsidR="009C27A2">
        <w:rPr>
          <w:rFonts w:eastAsia="Times New Roman"/>
        </w:rPr>
        <w:t>s</w:t>
      </w:r>
      <w:r w:rsidR="00661282" w:rsidRPr="006114A4">
        <w:rPr>
          <w:rFonts w:eastAsia="Times New Roman"/>
        </w:rPr>
        <w:t xml:space="preserve"> </w:t>
      </w:r>
      <w:r w:rsidRPr="006114A4">
        <w:rPr>
          <w:rFonts w:eastAsia="Times New Roman"/>
        </w:rPr>
        <w:t>s</w:t>
      </w:r>
      <w:r w:rsidR="00B62DC5" w:rsidRPr="006114A4">
        <w:rPr>
          <w:rFonts w:eastAsia="Times New Roman"/>
        </w:rPr>
        <w:t xml:space="preserve">aw </w:t>
      </w:r>
      <w:r w:rsidR="009C27A2">
        <w:rPr>
          <w:rFonts w:eastAsia="Times New Roman"/>
        </w:rPr>
        <w:t xml:space="preserve">themselves </w:t>
      </w:r>
      <w:r w:rsidR="00B62DC5" w:rsidRPr="006114A4">
        <w:rPr>
          <w:rFonts w:eastAsia="Times New Roman"/>
        </w:rPr>
        <w:t>a</w:t>
      </w:r>
      <w:r w:rsidR="009C27A2">
        <w:rPr>
          <w:rFonts w:eastAsia="Times New Roman"/>
        </w:rPr>
        <w:t>s</w:t>
      </w:r>
      <w:r w:rsidR="00B62DC5" w:rsidRPr="006114A4">
        <w:rPr>
          <w:rFonts w:eastAsia="Times New Roman"/>
        </w:rPr>
        <w:t xml:space="preserve"> guardian</w:t>
      </w:r>
      <w:r w:rsidR="009C27A2">
        <w:rPr>
          <w:rFonts w:eastAsia="Times New Roman"/>
        </w:rPr>
        <w:t>s</w:t>
      </w:r>
      <w:r w:rsidRPr="006114A4">
        <w:rPr>
          <w:rFonts w:eastAsia="Times New Roman"/>
        </w:rPr>
        <w:t xml:space="preserve"> of shareholder value, with a duty to bring enterprise-wide risk to limits set by senior management with no wasteful margin of error (see Nocco and</w:t>
      </w:r>
      <w:r w:rsidR="00187CFB">
        <w:rPr>
          <w:rFonts w:eastAsia="Times New Roman"/>
        </w:rPr>
        <w:t xml:space="preserve"> Stulz 2006: 11; Lam 2003</w:t>
      </w:r>
      <w:r w:rsidRPr="00784A30">
        <w:rPr>
          <w:rFonts w:eastAsia="Times New Roman"/>
        </w:rPr>
        <w:t>; Liebenberg and Hoyt 2003: 40). Anything short of</w:t>
      </w:r>
      <w:r>
        <w:rPr>
          <w:rFonts w:eastAsia="Times New Roman"/>
        </w:rPr>
        <w:t xml:space="preserve"> that would </w:t>
      </w:r>
      <w:r w:rsidR="00B76F1D">
        <w:rPr>
          <w:rFonts w:eastAsia="Times New Roman"/>
        </w:rPr>
        <w:t xml:space="preserve">be an </w:t>
      </w:r>
      <w:r w:rsidR="00B76F1D" w:rsidRPr="009C27A2">
        <w:rPr>
          <w:rFonts w:eastAsia="Times New Roman"/>
        </w:rPr>
        <w:t>abrogation of their duty to</w:t>
      </w:r>
      <w:r w:rsidR="00B76F1D">
        <w:rPr>
          <w:rFonts w:eastAsia="Times New Roman"/>
        </w:rPr>
        <w:t xml:space="preserve"> shareholders. </w:t>
      </w:r>
      <w:r w:rsidRPr="005035E6">
        <w:t xml:space="preserve">In what follows, we explain how this agenda led </w:t>
      </w:r>
      <w:r w:rsidRPr="005035E6">
        <w:rPr>
          <w:rFonts w:eastAsia="Times New Roman"/>
        </w:rPr>
        <w:t xml:space="preserve">CROs </w:t>
      </w:r>
      <w:r w:rsidRPr="005035E6">
        <w:t xml:space="preserve">to promote new, </w:t>
      </w:r>
      <w:r>
        <w:t>more complex and untested forms of</w:t>
      </w:r>
      <w:r w:rsidRPr="005035E6">
        <w:t xml:space="preserve"> derivatives. </w:t>
      </w:r>
    </w:p>
    <w:p w14:paraId="1773B2C5" w14:textId="77777777" w:rsidR="00AC3D0F" w:rsidRDefault="00AC3D0F" w:rsidP="00622847">
      <w:pPr>
        <w:spacing w:line="480" w:lineRule="auto"/>
        <w:rPr>
          <w:rFonts w:eastAsia="Times New Roman"/>
        </w:rPr>
      </w:pPr>
    </w:p>
    <w:p w14:paraId="7A1EF6BD" w14:textId="7D6FF8B8" w:rsidR="00416DED" w:rsidRPr="002B5A64" w:rsidRDefault="00D50B00" w:rsidP="00622847">
      <w:pPr>
        <w:spacing w:line="480" w:lineRule="auto"/>
        <w:rPr>
          <w:rFonts w:eastAsia="Times New Roman"/>
          <w:b/>
        </w:rPr>
      </w:pPr>
      <w:r w:rsidRPr="00080D5F">
        <w:rPr>
          <w:rFonts w:eastAsia="Times New Roman"/>
          <w:b/>
        </w:rPr>
        <w:t>CROs Promote</w:t>
      </w:r>
      <w:r w:rsidR="0043519A" w:rsidRPr="00080D5F">
        <w:rPr>
          <w:rFonts w:eastAsia="Times New Roman"/>
          <w:b/>
        </w:rPr>
        <w:t xml:space="preserve"> New</w:t>
      </w:r>
      <w:r w:rsidRPr="00080D5F">
        <w:rPr>
          <w:rFonts w:eastAsia="Times New Roman"/>
          <w:b/>
        </w:rPr>
        <w:t xml:space="preserve"> Derivatives to Maximize Risk-Adjusted Returns</w:t>
      </w:r>
    </w:p>
    <w:p w14:paraId="2EC5C43D" w14:textId="2F6B8AFF" w:rsidR="009F1DA0" w:rsidRPr="0083115C" w:rsidRDefault="00A87437" w:rsidP="00622847">
      <w:pPr>
        <w:spacing w:line="480" w:lineRule="auto"/>
        <w:ind w:firstLine="720"/>
        <w:rPr>
          <w:rFonts w:eastAsia="Times New Roman"/>
          <w:color w:val="000000"/>
        </w:rPr>
      </w:pPr>
      <w:r w:rsidRPr="00411409">
        <w:rPr>
          <w:rFonts w:eastAsia="Times New Roman"/>
          <w:color w:val="000000"/>
        </w:rPr>
        <w:t xml:space="preserve">CROs viewed derivatives as </w:t>
      </w:r>
      <w:r w:rsidR="006E4327" w:rsidRPr="00411409">
        <w:rPr>
          <w:rFonts w:eastAsia="Times New Roman"/>
          <w:color w:val="000000"/>
        </w:rPr>
        <w:t xml:space="preserve">important </w:t>
      </w:r>
      <w:r w:rsidRPr="00411409">
        <w:rPr>
          <w:rFonts w:eastAsia="Times New Roman"/>
          <w:color w:val="000000"/>
        </w:rPr>
        <w:t>components of the enterprise risk management toolkit</w:t>
      </w:r>
      <w:r w:rsidRPr="00894389">
        <w:rPr>
          <w:rFonts w:eastAsia="Times New Roman"/>
          <w:b/>
          <w:color w:val="000000"/>
        </w:rPr>
        <w:t xml:space="preserve"> </w:t>
      </w:r>
      <w:r w:rsidRPr="00894389">
        <w:rPr>
          <w:rFonts w:eastAsia="Times New Roman"/>
          <w:color w:val="000000"/>
        </w:rPr>
        <w:t>(</w:t>
      </w:r>
      <w:r w:rsidR="00546A99">
        <w:rPr>
          <w:rFonts w:eastAsia="Times New Roman"/>
          <w:color w:val="000000"/>
        </w:rPr>
        <w:t xml:space="preserve">see </w:t>
      </w:r>
      <w:r w:rsidR="004A600B">
        <w:rPr>
          <w:rFonts w:eastAsia="Times New Roman"/>
          <w:color w:val="000000"/>
        </w:rPr>
        <w:t xml:space="preserve">Moody 2003; </w:t>
      </w:r>
      <w:r w:rsidR="004733CD">
        <w:rPr>
          <w:rFonts w:eastAsia="Times New Roman"/>
          <w:color w:val="000000"/>
        </w:rPr>
        <w:t>Moeller 2011;</w:t>
      </w:r>
      <w:r w:rsidR="00546A99">
        <w:rPr>
          <w:rFonts w:eastAsia="Times New Roman"/>
          <w:color w:val="000000"/>
        </w:rPr>
        <w:t xml:space="preserve"> Baranoff 2004: 24; </w:t>
      </w:r>
      <w:r w:rsidR="00546A99" w:rsidRPr="00EF44F1">
        <w:rPr>
          <w:rFonts w:eastAsia="Times New Roman"/>
          <w:color w:val="000000"/>
        </w:rPr>
        <w:t>Banham 2000</w:t>
      </w:r>
      <w:r w:rsidRPr="00EF44F1">
        <w:rPr>
          <w:rFonts w:eastAsia="Times New Roman"/>
          <w:color w:val="000000"/>
        </w:rPr>
        <w:t>)</w:t>
      </w:r>
      <w:r w:rsidR="00661282">
        <w:rPr>
          <w:rFonts w:eastAsia="Times New Roman"/>
          <w:color w:val="000000"/>
        </w:rPr>
        <w:t>.</w:t>
      </w:r>
      <w:r>
        <w:rPr>
          <w:rFonts w:eastAsia="Times New Roman"/>
          <w:color w:val="000000"/>
        </w:rPr>
        <w:t xml:space="preserve"> </w:t>
      </w:r>
      <w:r w:rsidRPr="00292A34">
        <w:rPr>
          <w:rFonts w:eastAsia="Times New Roman"/>
          <w:color w:val="000000"/>
        </w:rPr>
        <w:t xml:space="preserve">Most CROs at large commercial banks came from backgrounds in credit risk management, </w:t>
      </w:r>
      <w:r w:rsidR="008449FF" w:rsidRPr="00292A34">
        <w:rPr>
          <w:rFonts w:eastAsia="Times New Roman"/>
          <w:color w:val="000000"/>
        </w:rPr>
        <w:t>where the use of</w:t>
      </w:r>
      <w:r w:rsidRPr="00292A34">
        <w:rPr>
          <w:rFonts w:eastAsia="Times New Roman"/>
          <w:color w:val="000000"/>
        </w:rPr>
        <w:t xml:space="preserve"> derivatives to adjust portfolio </w:t>
      </w:r>
      <w:r w:rsidR="008449FF" w:rsidRPr="00292A34">
        <w:rPr>
          <w:rFonts w:eastAsia="Times New Roman"/>
          <w:color w:val="000000"/>
        </w:rPr>
        <w:t xml:space="preserve">risk </w:t>
      </w:r>
      <w:r w:rsidRPr="00026E76">
        <w:rPr>
          <w:rFonts w:eastAsia="Times New Roman"/>
          <w:color w:val="000000"/>
        </w:rPr>
        <w:t xml:space="preserve">was already </w:t>
      </w:r>
      <w:r w:rsidR="00661282" w:rsidRPr="00026E76">
        <w:rPr>
          <w:rFonts w:eastAsia="Times New Roman"/>
          <w:color w:val="000000"/>
        </w:rPr>
        <w:t xml:space="preserve">common </w:t>
      </w:r>
      <w:r w:rsidR="00BE0B51" w:rsidRPr="00026E76">
        <w:rPr>
          <w:rFonts w:eastAsia="Times New Roman"/>
          <w:color w:val="000000"/>
        </w:rPr>
        <w:t>(</w:t>
      </w:r>
      <w:r w:rsidR="00213531" w:rsidRPr="00026E76">
        <w:t>Wilson 1998; Wood 200</w:t>
      </w:r>
      <w:r w:rsidR="00B72733">
        <w:t>2</w:t>
      </w:r>
      <w:r w:rsidR="00BE0B51" w:rsidRPr="00026E76">
        <w:rPr>
          <w:rFonts w:eastAsia="Times New Roman"/>
          <w:color w:val="000000"/>
        </w:rPr>
        <w:t>)</w:t>
      </w:r>
      <w:r w:rsidRPr="00026E76">
        <w:rPr>
          <w:rFonts w:eastAsia="Times New Roman"/>
          <w:color w:val="000000"/>
        </w:rPr>
        <w:t>.</w:t>
      </w:r>
      <w:r w:rsidRPr="00292A34">
        <w:rPr>
          <w:rFonts w:eastAsia="Times New Roman"/>
          <w:color w:val="000000"/>
        </w:rPr>
        <w:t xml:space="preserve"> </w:t>
      </w:r>
      <w:r w:rsidR="00B95DDC">
        <w:rPr>
          <w:rFonts w:eastAsia="Times New Roman"/>
          <w:color w:val="000000"/>
        </w:rPr>
        <w:t>Risk specialists saw</w:t>
      </w:r>
      <w:r w:rsidR="0063785E" w:rsidRPr="001027BC">
        <w:rPr>
          <w:rFonts w:eastAsia="Times New Roman"/>
          <w:color w:val="000000"/>
        </w:rPr>
        <w:t xml:space="preserve"> derivatives </w:t>
      </w:r>
      <w:r w:rsidR="0063785E" w:rsidRPr="0083115C">
        <w:rPr>
          <w:rFonts w:eastAsia="Times New Roman"/>
          <w:color w:val="000000"/>
        </w:rPr>
        <w:t xml:space="preserve">as </w:t>
      </w:r>
      <w:r w:rsidR="00102B79" w:rsidRPr="0083115C">
        <w:rPr>
          <w:rFonts w:eastAsia="Times New Roman"/>
          <w:color w:val="000000"/>
        </w:rPr>
        <w:t xml:space="preserve">tools </w:t>
      </w:r>
      <w:r w:rsidR="009B42CD">
        <w:rPr>
          <w:rFonts w:eastAsia="Times New Roman"/>
          <w:color w:val="000000"/>
        </w:rPr>
        <w:t xml:space="preserve">for adjusting </w:t>
      </w:r>
      <w:r w:rsidR="001027BC" w:rsidRPr="0083115C">
        <w:rPr>
          <w:rFonts w:eastAsia="Times New Roman"/>
          <w:color w:val="000000"/>
        </w:rPr>
        <w:t>exposure to</w:t>
      </w:r>
      <w:r w:rsidR="0063785E" w:rsidRPr="0083115C">
        <w:rPr>
          <w:rFonts w:eastAsia="Times New Roman"/>
          <w:color w:val="000000"/>
        </w:rPr>
        <w:t xml:space="preserve"> particular kind</w:t>
      </w:r>
      <w:r w:rsidR="001027BC" w:rsidRPr="0083115C">
        <w:rPr>
          <w:rFonts w:eastAsia="Times New Roman"/>
          <w:color w:val="000000"/>
        </w:rPr>
        <w:t>s</w:t>
      </w:r>
      <w:r w:rsidR="0063785E" w:rsidRPr="0083115C">
        <w:rPr>
          <w:rFonts w:eastAsia="Times New Roman"/>
          <w:color w:val="000000"/>
        </w:rPr>
        <w:t xml:space="preserve"> of investment</w:t>
      </w:r>
      <w:r w:rsidR="001027BC" w:rsidRPr="0083115C">
        <w:rPr>
          <w:rFonts w:eastAsia="Times New Roman"/>
          <w:color w:val="000000"/>
        </w:rPr>
        <w:t>s</w:t>
      </w:r>
      <w:r w:rsidR="004018C6" w:rsidRPr="0083115C">
        <w:rPr>
          <w:rFonts w:eastAsia="Times New Roman"/>
          <w:color w:val="000000"/>
        </w:rPr>
        <w:t xml:space="preserve"> quickly</w:t>
      </w:r>
      <w:r w:rsidR="00B76F1D" w:rsidRPr="0083115C">
        <w:rPr>
          <w:rFonts w:eastAsia="Times New Roman"/>
          <w:color w:val="000000"/>
        </w:rPr>
        <w:t>,</w:t>
      </w:r>
      <w:r w:rsidR="00740411" w:rsidRPr="0083115C">
        <w:rPr>
          <w:rFonts w:eastAsia="Times New Roman"/>
          <w:color w:val="000000"/>
        </w:rPr>
        <w:t xml:space="preserve"> </w:t>
      </w:r>
      <w:r w:rsidR="004018C6" w:rsidRPr="0083115C">
        <w:rPr>
          <w:rFonts w:eastAsia="Times New Roman"/>
          <w:color w:val="000000"/>
        </w:rPr>
        <w:t xml:space="preserve">precisely, and at low cost (Collins and Fabozzi 1999; </w:t>
      </w:r>
      <w:r w:rsidR="00213531" w:rsidRPr="008C6F2A">
        <w:t>Barrickman 2001</w:t>
      </w:r>
      <w:r w:rsidR="004018C6" w:rsidRPr="0083115C">
        <w:rPr>
          <w:rFonts w:eastAsia="Times New Roman"/>
          <w:color w:val="000000"/>
        </w:rPr>
        <w:t>)</w:t>
      </w:r>
      <w:r w:rsidR="00A53BBD" w:rsidRPr="0083115C">
        <w:rPr>
          <w:rFonts w:eastAsia="Times New Roman"/>
          <w:color w:val="000000"/>
        </w:rPr>
        <w:t xml:space="preserve">. </w:t>
      </w:r>
      <w:r w:rsidR="00740411" w:rsidRPr="0083115C">
        <w:rPr>
          <w:rFonts w:eastAsia="Times New Roman"/>
          <w:color w:val="000000"/>
        </w:rPr>
        <w:t xml:space="preserve">Derivatives were expected to </w:t>
      </w:r>
      <w:r w:rsidR="00A53BBD" w:rsidRPr="0083115C">
        <w:rPr>
          <w:rFonts w:eastAsia="Times New Roman"/>
          <w:color w:val="000000"/>
        </w:rPr>
        <w:t xml:space="preserve">enhance </w:t>
      </w:r>
      <w:r w:rsidR="00202D2A" w:rsidRPr="0083115C">
        <w:rPr>
          <w:rFonts w:eastAsia="Times New Roman"/>
          <w:color w:val="000000"/>
        </w:rPr>
        <w:t xml:space="preserve">a bank’s </w:t>
      </w:r>
      <w:r w:rsidR="00EB7730" w:rsidRPr="0083115C">
        <w:rPr>
          <w:rFonts w:eastAsia="Times New Roman"/>
          <w:color w:val="000000"/>
        </w:rPr>
        <w:t xml:space="preserve">overall </w:t>
      </w:r>
      <w:r w:rsidR="001424F7" w:rsidRPr="0083115C">
        <w:rPr>
          <w:rFonts w:eastAsia="Times New Roman"/>
          <w:color w:val="000000"/>
        </w:rPr>
        <w:t>portfolio</w:t>
      </w:r>
      <w:r w:rsidR="001A6E7F" w:rsidRPr="0083115C">
        <w:rPr>
          <w:rFonts w:eastAsia="Times New Roman"/>
          <w:color w:val="000000"/>
        </w:rPr>
        <w:t xml:space="preserve"> efficiency</w:t>
      </w:r>
      <w:r w:rsidR="00D62ED6" w:rsidRPr="0083115C">
        <w:rPr>
          <w:rFonts w:eastAsia="Times New Roman"/>
          <w:color w:val="000000"/>
        </w:rPr>
        <w:t xml:space="preserve"> </w:t>
      </w:r>
      <w:r w:rsidR="004120A3" w:rsidRPr="0083115C">
        <w:rPr>
          <w:rFonts w:eastAsia="Times New Roman"/>
          <w:color w:val="000000"/>
        </w:rPr>
        <w:t xml:space="preserve">by </w:t>
      </w:r>
      <w:r w:rsidR="007C44DC" w:rsidRPr="0083115C">
        <w:rPr>
          <w:rFonts w:eastAsia="Times New Roman"/>
          <w:color w:val="000000"/>
        </w:rPr>
        <w:t>re</w:t>
      </w:r>
      <w:r w:rsidR="004120A3" w:rsidRPr="0083115C">
        <w:rPr>
          <w:rFonts w:eastAsia="Times New Roman"/>
          <w:color w:val="000000"/>
        </w:rPr>
        <w:t>direct</w:t>
      </w:r>
      <w:r w:rsidR="00B95DDC">
        <w:rPr>
          <w:rFonts w:eastAsia="Times New Roman"/>
          <w:color w:val="000000"/>
        </w:rPr>
        <w:t>ing</w:t>
      </w:r>
      <w:r w:rsidR="004120A3" w:rsidRPr="0083115C">
        <w:rPr>
          <w:rFonts w:eastAsia="Times New Roman"/>
          <w:color w:val="000000"/>
        </w:rPr>
        <w:t xml:space="preserve"> resources</w:t>
      </w:r>
      <w:r w:rsidR="00E965D2" w:rsidRPr="0083115C">
        <w:rPr>
          <w:rFonts w:eastAsia="Times New Roman"/>
          <w:color w:val="000000"/>
        </w:rPr>
        <w:t xml:space="preserve"> </w:t>
      </w:r>
      <w:r w:rsidR="00102B79" w:rsidRPr="0083115C">
        <w:rPr>
          <w:rFonts w:eastAsia="Times New Roman"/>
          <w:color w:val="000000"/>
        </w:rPr>
        <w:t xml:space="preserve">to </w:t>
      </w:r>
      <w:r w:rsidR="00202D2A" w:rsidRPr="0083115C">
        <w:rPr>
          <w:rFonts w:eastAsia="Times New Roman"/>
          <w:color w:val="000000"/>
        </w:rPr>
        <w:t xml:space="preserve">investments </w:t>
      </w:r>
      <w:r w:rsidR="00B95DDC">
        <w:rPr>
          <w:rFonts w:eastAsia="Times New Roman"/>
          <w:color w:val="000000"/>
        </w:rPr>
        <w:t xml:space="preserve">that </w:t>
      </w:r>
      <w:r w:rsidR="00057E2B">
        <w:rPr>
          <w:rFonts w:eastAsia="Times New Roman"/>
          <w:color w:val="000000"/>
        </w:rPr>
        <w:t>promised</w:t>
      </w:r>
      <w:r w:rsidR="00202D2A" w:rsidRPr="0083115C">
        <w:rPr>
          <w:rFonts w:eastAsia="Times New Roman"/>
          <w:color w:val="000000"/>
        </w:rPr>
        <w:t xml:space="preserve"> the greatest </w:t>
      </w:r>
      <w:r w:rsidR="004120A3" w:rsidRPr="0083115C">
        <w:rPr>
          <w:rFonts w:eastAsia="Times New Roman"/>
          <w:color w:val="000000"/>
        </w:rPr>
        <w:t>returns</w:t>
      </w:r>
      <w:r w:rsidR="00202D2A" w:rsidRPr="0083115C">
        <w:rPr>
          <w:rFonts w:eastAsia="Times New Roman"/>
          <w:color w:val="000000"/>
        </w:rPr>
        <w:t xml:space="preserve">. </w:t>
      </w:r>
      <w:r w:rsidR="00057E2B">
        <w:rPr>
          <w:rFonts w:eastAsia="Times New Roman"/>
          <w:color w:val="000000"/>
        </w:rPr>
        <w:t xml:space="preserve">They enabled </w:t>
      </w:r>
      <w:r w:rsidR="006C3317" w:rsidRPr="0083115C">
        <w:rPr>
          <w:rFonts w:eastAsia="Times New Roman"/>
          <w:color w:val="000000"/>
        </w:rPr>
        <w:t xml:space="preserve">banks </w:t>
      </w:r>
      <w:r w:rsidR="009F4DC3">
        <w:rPr>
          <w:rFonts w:eastAsia="Times New Roman"/>
          <w:color w:val="000000"/>
        </w:rPr>
        <w:t xml:space="preserve">to </w:t>
      </w:r>
      <w:r w:rsidR="006C3317" w:rsidRPr="0083115C">
        <w:rPr>
          <w:rFonts w:eastAsia="Times New Roman"/>
          <w:color w:val="000000"/>
        </w:rPr>
        <w:t xml:space="preserve">unwind investments </w:t>
      </w:r>
      <w:r w:rsidR="00057E2B">
        <w:rPr>
          <w:rFonts w:eastAsia="Times New Roman"/>
          <w:color w:val="000000"/>
        </w:rPr>
        <w:t xml:space="preserve">with declining prospects or </w:t>
      </w:r>
      <w:r w:rsidR="006C3317" w:rsidRPr="0083115C">
        <w:rPr>
          <w:rFonts w:eastAsia="Times New Roman"/>
          <w:color w:val="000000"/>
        </w:rPr>
        <w:t xml:space="preserve">acquire </w:t>
      </w:r>
      <w:r w:rsidR="00D326CE" w:rsidRPr="0083115C">
        <w:rPr>
          <w:rFonts w:eastAsia="Times New Roman"/>
          <w:color w:val="000000"/>
        </w:rPr>
        <w:t xml:space="preserve">exposure to </w:t>
      </w:r>
      <w:r w:rsidR="00202D2A" w:rsidRPr="0083115C">
        <w:rPr>
          <w:rFonts w:eastAsia="Times New Roman"/>
          <w:color w:val="000000"/>
        </w:rPr>
        <w:t xml:space="preserve">promising </w:t>
      </w:r>
      <w:r w:rsidR="00D326CE" w:rsidRPr="0083115C">
        <w:rPr>
          <w:rFonts w:eastAsia="Times New Roman"/>
          <w:color w:val="000000"/>
        </w:rPr>
        <w:t>investments</w:t>
      </w:r>
      <w:r w:rsidR="00057E2B">
        <w:rPr>
          <w:rFonts w:eastAsia="Times New Roman"/>
          <w:color w:val="000000"/>
        </w:rPr>
        <w:t xml:space="preserve"> more quickly and easily</w:t>
      </w:r>
      <w:r w:rsidR="00740411" w:rsidRPr="0083115C">
        <w:rPr>
          <w:rFonts w:eastAsia="Times New Roman"/>
          <w:color w:val="000000"/>
        </w:rPr>
        <w:t xml:space="preserve"> </w:t>
      </w:r>
      <w:r w:rsidR="001A6E7F" w:rsidRPr="0083115C">
        <w:rPr>
          <w:rFonts w:eastAsia="Times New Roman"/>
          <w:color w:val="000000"/>
        </w:rPr>
        <w:t>(Collins and Fabozzi 1999: 10</w:t>
      </w:r>
      <w:r w:rsidR="00B52528" w:rsidRPr="0083115C">
        <w:rPr>
          <w:rFonts w:eastAsia="Times New Roman"/>
          <w:color w:val="000000"/>
        </w:rPr>
        <w:t>; Minton et al. 2005</w:t>
      </w:r>
      <w:r w:rsidR="001A6E7F" w:rsidRPr="0083115C">
        <w:rPr>
          <w:rFonts w:eastAsia="Times New Roman"/>
          <w:color w:val="000000"/>
        </w:rPr>
        <w:t>)</w:t>
      </w:r>
      <w:r w:rsidR="00BB1FA9" w:rsidRPr="0083115C">
        <w:rPr>
          <w:rFonts w:eastAsia="Times New Roman"/>
          <w:color w:val="000000"/>
        </w:rPr>
        <w:t>.</w:t>
      </w:r>
    </w:p>
    <w:p w14:paraId="6749E4B8" w14:textId="69500C72" w:rsidR="001D67F7" w:rsidRPr="00745280" w:rsidRDefault="001D67F7" w:rsidP="00745280">
      <w:pPr>
        <w:spacing w:line="480" w:lineRule="auto"/>
        <w:ind w:firstLine="720"/>
        <w:rPr>
          <w:rFonts w:eastAsia="Times New Roman"/>
        </w:rPr>
      </w:pPr>
      <w:r w:rsidRPr="00624A45">
        <w:rPr>
          <w:rFonts w:eastAsia="Times New Roman"/>
          <w:color w:val="231F20"/>
          <w:shd w:val="clear" w:color="auto" w:fill="FFFFFF"/>
        </w:rPr>
        <w:lastRenderedPageBreak/>
        <w:t xml:space="preserve">ERM called for CROs to develop strategies to assess, evaluate, and </w:t>
      </w:r>
      <w:r w:rsidRPr="00624A45">
        <w:t xml:space="preserve">reallocate </w:t>
      </w:r>
      <w:r w:rsidRPr="00624A45">
        <w:rPr>
          <w:rFonts w:eastAsia="Times New Roman"/>
          <w:color w:val="000000"/>
        </w:rPr>
        <w:t xml:space="preserve">risk at the enterprise level, and to work in conjunction with </w:t>
      </w:r>
      <w:r w:rsidR="00854F6E" w:rsidRPr="00624A45">
        <w:rPr>
          <w:rFonts w:eastAsia="Times New Roman"/>
          <w:color w:val="000000"/>
        </w:rPr>
        <w:t xml:space="preserve">key business departments </w:t>
      </w:r>
      <w:r w:rsidRPr="00624A45">
        <w:rPr>
          <w:rFonts w:eastAsia="Times New Roman"/>
          <w:color w:val="000000"/>
        </w:rPr>
        <w:t xml:space="preserve">within banks to execute these strategies (Banham 2000; </w:t>
      </w:r>
      <w:r w:rsidR="00780838" w:rsidRPr="00624A45">
        <w:rPr>
          <w:rFonts w:eastAsia="Times New Roman"/>
          <w:color w:val="000000"/>
        </w:rPr>
        <w:t xml:space="preserve">Investment Company Institute </w:t>
      </w:r>
      <w:r w:rsidRPr="00624A45">
        <w:rPr>
          <w:rFonts w:eastAsia="Times New Roman"/>
          <w:color w:val="000000"/>
        </w:rPr>
        <w:t>2007</w:t>
      </w:r>
      <w:r w:rsidR="007E2EF3" w:rsidRPr="00624A45">
        <w:rPr>
          <w:rFonts w:eastAsia="Times New Roman"/>
          <w:color w:val="000000"/>
        </w:rPr>
        <w:t>;</w:t>
      </w:r>
      <w:r w:rsidR="00A97332" w:rsidRPr="00624A45">
        <w:rPr>
          <w:rFonts w:eastAsia="Times New Roman"/>
          <w:color w:val="000000"/>
        </w:rPr>
        <w:t xml:space="preserve"> Banham 2004</w:t>
      </w:r>
      <w:r w:rsidRPr="00624A45">
        <w:rPr>
          <w:rFonts w:eastAsia="Times New Roman"/>
          <w:color w:val="000000"/>
        </w:rPr>
        <w:t xml:space="preserve">). We suggest that in working with these units, </w:t>
      </w:r>
      <w:r w:rsidR="00624A45">
        <w:rPr>
          <w:rFonts w:eastAsia="Times New Roman"/>
          <w:color w:val="000000"/>
        </w:rPr>
        <w:t>CROs</w:t>
      </w:r>
      <w:r w:rsidR="003D6FAE" w:rsidRPr="00624A45">
        <w:rPr>
          <w:rFonts w:eastAsia="Times New Roman"/>
          <w:color w:val="000000"/>
        </w:rPr>
        <w:t xml:space="preserve"> </w:t>
      </w:r>
      <w:r w:rsidRPr="00624A45">
        <w:rPr>
          <w:rFonts w:eastAsia="Times New Roman"/>
          <w:color w:val="000000"/>
        </w:rPr>
        <w:t>promoted newer derivatives as tools that would help units, and the entire enterprise, adjust their current exposures to better maximize risk-</w:t>
      </w:r>
      <w:r w:rsidRPr="00745280">
        <w:rPr>
          <w:rFonts w:eastAsia="Times New Roman"/>
          <w:color w:val="000000"/>
        </w:rPr>
        <w:t>adjusted returns.</w:t>
      </w:r>
    </w:p>
    <w:p w14:paraId="085553E5" w14:textId="220CCA5C" w:rsidR="00AD585C" w:rsidRPr="00745280" w:rsidRDefault="009F1DA0" w:rsidP="00EE41FF">
      <w:pPr>
        <w:spacing w:line="480" w:lineRule="auto"/>
        <w:ind w:firstLine="720"/>
        <w:rPr>
          <w:rFonts w:eastAsia="Times New Roman"/>
        </w:rPr>
      </w:pPr>
      <w:r w:rsidRPr="00795230">
        <w:t>C</w:t>
      </w:r>
      <w:r w:rsidR="00BF1082" w:rsidRPr="00795230">
        <w:t xml:space="preserve">ertain types of derivatives – </w:t>
      </w:r>
      <w:r w:rsidR="004836C9" w:rsidRPr="00795230">
        <w:t>such as</w:t>
      </w:r>
      <w:r w:rsidR="00B178F8" w:rsidRPr="00795230">
        <w:t xml:space="preserve"> </w:t>
      </w:r>
      <w:r w:rsidR="00BF1082" w:rsidRPr="00795230">
        <w:t>futures</w:t>
      </w:r>
      <w:r w:rsidR="00B178F8" w:rsidRPr="00795230">
        <w:t xml:space="preserve"> and </w:t>
      </w:r>
      <w:r w:rsidR="00BF1082" w:rsidRPr="00795230">
        <w:t>forwards</w:t>
      </w:r>
      <w:r w:rsidR="00C60518" w:rsidRPr="00795230">
        <w:t xml:space="preserve"> contracts written on agricultural </w:t>
      </w:r>
      <w:r w:rsidR="006D4448" w:rsidRPr="00795230">
        <w:t>commodities</w:t>
      </w:r>
      <w:r w:rsidR="00BF1082" w:rsidRPr="00795230">
        <w:t xml:space="preserve"> -</w:t>
      </w:r>
      <w:r w:rsidR="001D67F7" w:rsidRPr="00795230">
        <w:t>-</w:t>
      </w:r>
      <w:r w:rsidR="00BF1082" w:rsidRPr="00795230">
        <w:t xml:space="preserve"> have traded in American </w:t>
      </w:r>
      <w:r w:rsidR="006F1F5D" w:rsidRPr="00795230">
        <w:t>financial markets for centuries</w:t>
      </w:r>
      <w:r w:rsidR="006A614A" w:rsidRPr="00795230">
        <w:t xml:space="preserve">. </w:t>
      </w:r>
      <w:r w:rsidR="00795230" w:rsidRPr="00795230">
        <w:t xml:space="preserve">However, the pace of innovation in derivatives markets increased markedly in the early 1970s. This period </w:t>
      </w:r>
      <w:r w:rsidR="00A0019C" w:rsidRPr="00795230">
        <w:t xml:space="preserve">witnessed a dramatic </w:t>
      </w:r>
      <w:r w:rsidR="00A31483" w:rsidRPr="00795230">
        <w:t xml:space="preserve">expansion in </w:t>
      </w:r>
      <w:r w:rsidR="00C60518" w:rsidRPr="00795230">
        <w:rPr>
          <w:rFonts w:eastAsia="Times New Roman"/>
        </w:rPr>
        <w:t>d</w:t>
      </w:r>
      <w:r w:rsidR="00133A71" w:rsidRPr="00795230">
        <w:rPr>
          <w:rFonts w:eastAsia="Times New Roman"/>
        </w:rPr>
        <w:t>erivatives tra</w:t>
      </w:r>
      <w:r w:rsidR="00A31483" w:rsidRPr="00795230">
        <w:rPr>
          <w:rFonts w:eastAsia="Times New Roman"/>
        </w:rPr>
        <w:t>ding</w:t>
      </w:r>
      <w:r w:rsidR="008B7C27" w:rsidRPr="00795230">
        <w:rPr>
          <w:rFonts w:eastAsia="Times New Roman"/>
        </w:rPr>
        <w:t xml:space="preserve"> to include </w:t>
      </w:r>
      <w:r w:rsidR="00133A71" w:rsidRPr="00795230">
        <w:rPr>
          <w:rFonts w:eastAsia="Times New Roman"/>
        </w:rPr>
        <w:t xml:space="preserve">futures and forwards </w:t>
      </w:r>
      <w:r w:rsidR="00C60518" w:rsidRPr="00795230">
        <w:rPr>
          <w:rFonts w:eastAsia="Times New Roman"/>
        </w:rPr>
        <w:t xml:space="preserve">written </w:t>
      </w:r>
      <w:r w:rsidR="00133A71" w:rsidRPr="00795230">
        <w:rPr>
          <w:rFonts w:eastAsia="Times New Roman"/>
        </w:rPr>
        <w:t>on financial assets (s</w:t>
      </w:r>
      <w:r w:rsidR="00C60518" w:rsidRPr="00795230">
        <w:rPr>
          <w:rFonts w:eastAsia="Times New Roman"/>
        </w:rPr>
        <w:t>tocks, bonds, currencies</w:t>
      </w:r>
      <w:r w:rsidR="00A31483" w:rsidRPr="00795230">
        <w:rPr>
          <w:rFonts w:eastAsia="Times New Roman"/>
        </w:rPr>
        <w:t>)</w:t>
      </w:r>
      <w:r w:rsidR="00795230" w:rsidRPr="00795230">
        <w:rPr>
          <w:rFonts w:eastAsia="Times New Roman"/>
        </w:rPr>
        <w:t>,</w:t>
      </w:r>
      <w:r w:rsidR="0090612B">
        <w:rPr>
          <w:rFonts w:eastAsia="Times New Roman"/>
        </w:rPr>
        <w:t xml:space="preserve"> as well as</w:t>
      </w:r>
      <w:r w:rsidR="00A31483" w:rsidRPr="00795230">
        <w:rPr>
          <w:rFonts w:eastAsia="Times New Roman"/>
        </w:rPr>
        <w:t xml:space="preserve"> </w:t>
      </w:r>
      <w:r w:rsidR="00795230" w:rsidRPr="00795230">
        <w:rPr>
          <w:rFonts w:eastAsia="Times New Roman"/>
        </w:rPr>
        <w:t>the formation of a</w:t>
      </w:r>
      <w:r w:rsidR="002971DD" w:rsidRPr="00795230">
        <w:rPr>
          <w:rFonts w:eastAsia="Times New Roman"/>
        </w:rPr>
        <w:t xml:space="preserve"> formal</w:t>
      </w:r>
      <w:r w:rsidR="00EA2AF0" w:rsidRPr="00795230">
        <w:rPr>
          <w:rFonts w:eastAsia="Times New Roman"/>
        </w:rPr>
        <w:t xml:space="preserve"> exchange to </w:t>
      </w:r>
      <w:r w:rsidR="00166E44" w:rsidRPr="00795230">
        <w:rPr>
          <w:rFonts w:eastAsia="Times New Roman"/>
        </w:rPr>
        <w:t>trade options contracts</w:t>
      </w:r>
      <w:r w:rsidR="0090612B">
        <w:rPr>
          <w:rFonts w:eastAsia="Times New Roman"/>
        </w:rPr>
        <w:t xml:space="preserve"> </w:t>
      </w:r>
      <w:r w:rsidR="008B7C27" w:rsidRPr="00795230">
        <w:rPr>
          <w:rFonts w:eastAsia="Times New Roman"/>
        </w:rPr>
        <w:t xml:space="preserve">(Whaley 2006: </w:t>
      </w:r>
      <w:r w:rsidR="00A0019C" w:rsidRPr="00795230">
        <w:rPr>
          <w:rFonts w:eastAsia="Times New Roman"/>
        </w:rPr>
        <w:t>16</w:t>
      </w:r>
      <w:r w:rsidR="00A4659A" w:rsidRPr="00795230">
        <w:rPr>
          <w:rFonts w:eastAsia="Times New Roman"/>
        </w:rPr>
        <w:t>)</w:t>
      </w:r>
      <w:r w:rsidR="00C60518" w:rsidRPr="00795230">
        <w:rPr>
          <w:rFonts w:eastAsia="Times New Roman"/>
        </w:rPr>
        <w:t xml:space="preserve">. </w:t>
      </w:r>
      <w:r w:rsidR="00795230" w:rsidRPr="00795230">
        <w:rPr>
          <w:rFonts w:eastAsia="Times New Roman"/>
        </w:rPr>
        <w:t xml:space="preserve">A second wave of innovation followed in </w:t>
      </w:r>
      <w:r w:rsidR="00DA6E6C" w:rsidRPr="00795230">
        <w:rPr>
          <w:rFonts w:eastAsia="Times New Roman"/>
        </w:rPr>
        <w:t xml:space="preserve">the </w:t>
      </w:r>
      <w:r w:rsidR="006450DA" w:rsidRPr="00795230">
        <w:rPr>
          <w:rFonts w:eastAsia="Times New Roman"/>
        </w:rPr>
        <w:t xml:space="preserve">1980s and early 1990s. </w:t>
      </w:r>
      <w:r w:rsidR="00F0653C" w:rsidRPr="00795230">
        <w:rPr>
          <w:rFonts w:eastAsia="Times New Roman"/>
        </w:rPr>
        <w:t xml:space="preserve">Hoping to capitalize on the </w:t>
      </w:r>
      <w:r w:rsidR="00964079" w:rsidRPr="00795230">
        <w:rPr>
          <w:rFonts w:eastAsia="Times New Roman"/>
        </w:rPr>
        <w:t xml:space="preserve">growing popularity of derivatives </w:t>
      </w:r>
      <w:r w:rsidR="002971DD" w:rsidRPr="00795230">
        <w:rPr>
          <w:rFonts w:eastAsia="Times New Roman"/>
        </w:rPr>
        <w:t xml:space="preserve">written </w:t>
      </w:r>
      <w:r w:rsidR="00964079" w:rsidRPr="00795230">
        <w:rPr>
          <w:rFonts w:eastAsia="Times New Roman"/>
        </w:rPr>
        <w:t xml:space="preserve">on financial assets, investment banks </w:t>
      </w:r>
      <w:r w:rsidR="00795230" w:rsidRPr="00795230">
        <w:rPr>
          <w:rFonts w:eastAsia="Times New Roman"/>
        </w:rPr>
        <w:t xml:space="preserve">created new, different types of </w:t>
      </w:r>
      <w:r w:rsidR="00F0653C" w:rsidRPr="00795230">
        <w:rPr>
          <w:rFonts w:eastAsia="Times New Roman"/>
        </w:rPr>
        <w:t>derivatives</w:t>
      </w:r>
      <w:r w:rsidR="00795230" w:rsidRPr="00795230">
        <w:rPr>
          <w:rFonts w:eastAsia="Times New Roman"/>
        </w:rPr>
        <w:t xml:space="preserve"> </w:t>
      </w:r>
      <w:r w:rsidR="002971DD" w:rsidRPr="00795230">
        <w:rPr>
          <w:rFonts w:eastAsia="Times New Roman"/>
        </w:rPr>
        <w:t>(Whaley 2006</w:t>
      </w:r>
      <w:r w:rsidR="00795230" w:rsidRPr="00795230">
        <w:rPr>
          <w:rFonts w:eastAsia="Times New Roman"/>
        </w:rPr>
        <w:t>: 18</w:t>
      </w:r>
      <w:r w:rsidR="002971DD" w:rsidRPr="00795230">
        <w:rPr>
          <w:rFonts w:eastAsia="Times New Roman"/>
        </w:rPr>
        <w:t>)</w:t>
      </w:r>
      <w:r w:rsidR="00964079" w:rsidRPr="00795230">
        <w:rPr>
          <w:rFonts w:eastAsia="Times New Roman"/>
        </w:rPr>
        <w:t xml:space="preserve">. These new derivatives, which included </w:t>
      </w:r>
      <w:r w:rsidR="00EE41FF" w:rsidRPr="00795230">
        <w:rPr>
          <w:rFonts w:eastAsia="Times New Roman"/>
        </w:rPr>
        <w:t xml:space="preserve">swaps, credit derivatives, and over-the-counter options, </w:t>
      </w:r>
      <w:r w:rsidR="009C411A" w:rsidRPr="00795230">
        <w:rPr>
          <w:rFonts w:eastAsia="Times New Roman"/>
        </w:rPr>
        <w:t xml:space="preserve">featured </w:t>
      </w:r>
      <w:r w:rsidR="00C55E39" w:rsidRPr="00795230">
        <w:rPr>
          <w:rFonts w:eastAsia="Times New Roman"/>
        </w:rPr>
        <w:t xml:space="preserve">complex, non-standard </w:t>
      </w:r>
      <w:r w:rsidR="009C411A" w:rsidRPr="00795230">
        <w:rPr>
          <w:rFonts w:eastAsia="Times New Roman"/>
        </w:rPr>
        <w:t>contracts</w:t>
      </w:r>
      <w:r w:rsidR="00112245" w:rsidRPr="00795230">
        <w:rPr>
          <w:rFonts w:eastAsia="Times New Roman"/>
        </w:rPr>
        <w:t xml:space="preserve"> (</w:t>
      </w:r>
      <w:r w:rsidR="00112245" w:rsidRPr="00795230">
        <w:t xml:space="preserve">Carmichael and Rosenfield 2003: 41; </w:t>
      </w:r>
      <w:r w:rsidR="00112245" w:rsidRPr="00795230">
        <w:rPr>
          <w:rFonts w:eastAsia="Times New Roman"/>
        </w:rPr>
        <w:t>Becketti 1993</w:t>
      </w:r>
      <w:r w:rsidR="00112245" w:rsidRPr="00795230">
        <w:t>)</w:t>
      </w:r>
      <w:r w:rsidR="00112245" w:rsidRPr="00795230">
        <w:rPr>
          <w:rFonts w:eastAsia="Times New Roman"/>
        </w:rPr>
        <w:t xml:space="preserve">. Unlike more conventional derivatives, like futures or exchange-traded options, they </w:t>
      </w:r>
      <w:r w:rsidR="00C55E39" w:rsidRPr="00795230">
        <w:rPr>
          <w:rFonts w:eastAsia="Times New Roman"/>
        </w:rPr>
        <w:t xml:space="preserve">traded on </w:t>
      </w:r>
      <w:r w:rsidR="0030350A" w:rsidRPr="00795230">
        <w:rPr>
          <w:rFonts w:eastAsia="Times New Roman"/>
        </w:rPr>
        <w:t xml:space="preserve">over-the-counter </w:t>
      </w:r>
      <w:r w:rsidR="00484BEE" w:rsidRPr="00795230">
        <w:rPr>
          <w:rFonts w:eastAsia="Times New Roman"/>
        </w:rPr>
        <w:t xml:space="preserve">(OTC) </w:t>
      </w:r>
      <w:r w:rsidR="0030350A" w:rsidRPr="00795230">
        <w:rPr>
          <w:rFonts w:eastAsia="Times New Roman"/>
        </w:rPr>
        <w:t>markets</w:t>
      </w:r>
      <w:r w:rsidR="00795230" w:rsidRPr="00795230">
        <w:rPr>
          <w:rFonts w:eastAsia="Times New Roman"/>
        </w:rPr>
        <w:t>, rather than</w:t>
      </w:r>
      <w:r w:rsidR="009C411A" w:rsidRPr="00795230">
        <w:rPr>
          <w:rFonts w:eastAsia="Times New Roman"/>
        </w:rPr>
        <w:t xml:space="preserve"> </w:t>
      </w:r>
      <w:r w:rsidR="00AF0938">
        <w:rPr>
          <w:rFonts w:eastAsia="Times New Roman"/>
        </w:rPr>
        <w:t xml:space="preserve">on </w:t>
      </w:r>
      <w:r w:rsidR="00112245" w:rsidRPr="00795230">
        <w:rPr>
          <w:rFonts w:eastAsia="Times New Roman"/>
        </w:rPr>
        <w:t xml:space="preserve">organized exchanges: they </w:t>
      </w:r>
      <w:r w:rsidR="00272763" w:rsidRPr="00795230">
        <w:rPr>
          <w:rFonts w:eastAsia="Times New Roman"/>
        </w:rPr>
        <w:t>were</w:t>
      </w:r>
      <w:r w:rsidR="006A614A" w:rsidRPr="00795230">
        <w:rPr>
          <w:rFonts w:eastAsia="Times New Roman"/>
        </w:rPr>
        <w:t xml:space="preserve"> </w:t>
      </w:r>
      <w:r w:rsidR="00A365A6" w:rsidRPr="00795230">
        <w:rPr>
          <w:rFonts w:eastAsia="Times New Roman"/>
        </w:rPr>
        <w:t xml:space="preserve">created in </w:t>
      </w:r>
      <w:r w:rsidR="006A614A" w:rsidRPr="00795230">
        <w:rPr>
          <w:rFonts w:eastAsia="Times New Roman"/>
        </w:rPr>
        <w:t xml:space="preserve">one-off deals </w:t>
      </w:r>
      <w:r w:rsidR="00BF1082" w:rsidRPr="00795230">
        <w:rPr>
          <w:rFonts w:eastAsia="Times New Roman"/>
        </w:rPr>
        <w:t>negotiated between counterparties</w:t>
      </w:r>
      <w:r w:rsidR="002971DD" w:rsidRPr="00795230">
        <w:rPr>
          <w:rFonts w:eastAsia="Times New Roman"/>
        </w:rPr>
        <w:t>.</w:t>
      </w:r>
      <w:r w:rsidR="002971DD" w:rsidRPr="00795230">
        <w:rPr>
          <w:rStyle w:val="EndnoteReference"/>
          <w:rFonts w:eastAsia="Times New Roman"/>
        </w:rPr>
        <w:endnoteReference w:id="1"/>
      </w:r>
      <w:r w:rsidR="0069757A" w:rsidRPr="00795230">
        <w:rPr>
          <w:rFonts w:eastAsia="Times New Roman"/>
        </w:rPr>
        <w:t xml:space="preserve"> </w:t>
      </w:r>
      <w:r w:rsidR="002971DD" w:rsidRPr="00795230">
        <w:rPr>
          <w:rFonts w:eastAsia="Times New Roman"/>
        </w:rPr>
        <w:t xml:space="preserve">The </w:t>
      </w:r>
      <w:r w:rsidR="0069757A" w:rsidRPr="00795230">
        <w:rPr>
          <w:rFonts w:eastAsia="Times New Roman"/>
        </w:rPr>
        <w:t xml:space="preserve">new derivatives </w:t>
      </w:r>
      <w:r w:rsidR="00795230" w:rsidRPr="00795230">
        <w:rPr>
          <w:rFonts w:eastAsia="Times New Roman"/>
        </w:rPr>
        <w:t>were wildly successful. I</w:t>
      </w:r>
      <w:r w:rsidR="00582D80" w:rsidRPr="00795230">
        <w:rPr>
          <w:rFonts w:eastAsia="Times New Roman"/>
        </w:rPr>
        <w:t xml:space="preserve">n </w:t>
      </w:r>
      <w:r w:rsidR="00272763" w:rsidRPr="00795230">
        <w:rPr>
          <w:rFonts w:eastAsia="Times New Roman"/>
        </w:rPr>
        <w:t>1980, virtually all derivatives traded on exchanges, but by 1991, the notional</w:t>
      </w:r>
      <w:r w:rsidR="0069757A" w:rsidRPr="00795230">
        <w:rPr>
          <w:rFonts w:eastAsia="Times New Roman"/>
        </w:rPr>
        <w:t xml:space="preserve"> amount of derivatives traded in the </w:t>
      </w:r>
      <w:r w:rsidR="00272763" w:rsidRPr="00795230">
        <w:rPr>
          <w:rFonts w:eastAsia="Times New Roman"/>
        </w:rPr>
        <w:t>OTC market equal</w:t>
      </w:r>
      <w:r w:rsidR="007248F3">
        <w:rPr>
          <w:rFonts w:eastAsia="Times New Roman"/>
        </w:rPr>
        <w:t xml:space="preserve">ed (and soon surpassed) </w:t>
      </w:r>
      <w:r w:rsidR="002971DD" w:rsidRPr="00795230">
        <w:rPr>
          <w:rFonts w:eastAsia="Times New Roman"/>
        </w:rPr>
        <w:t xml:space="preserve">the amount </w:t>
      </w:r>
      <w:r w:rsidR="0069757A" w:rsidRPr="00795230">
        <w:rPr>
          <w:rFonts w:eastAsia="Times New Roman"/>
        </w:rPr>
        <w:t>traded in</w:t>
      </w:r>
      <w:r w:rsidR="00272763" w:rsidRPr="00795230">
        <w:rPr>
          <w:rFonts w:eastAsia="Times New Roman"/>
        </w:rPr>
        <w:t xml:space="preserve"> exchange-traded markets (Whaley </w:t>
      </w:r>
      <w:r w:rsidR="009C411A" w:rsidRPr="00795230">
        <w:rPr>
          <w:rFonts w:eastAsia="Times New Roman"/>
        </w:rPr>
        <w:t>2006</w:t>
      </w:r>
      <w:r w:rsidR="00272763" w:rsidRPr="00795230">
        <w:rPr>
          <w:rFonts w:eastAsia="Times New Roman"/>
        </w:rPr>
        <w:t>: 19).</w:t>
      </w:r>
    </w:p>
    <w:p w14:paraId="0781AA06" w14:textId="73FAD0A5" w:rsidR="00B95567" w:rsidRPr="007E2EF3" w:rsidRDefault="00B94374" w:rsidP="00622847">
      <w:pPr>
        <w:tabs>
          <w:tab w:val="left" w:pos="6390"/>
        </w:tabs>
        <w:spacing w:line="480" w:lineRule="auto"/>
        <w:ind w:firstLine="720"/>
        <w:rPr>
          <w:rFonts w:eastAsia="Times New Roman"/>
          <w:color w:val="000000"/>
        </w:rPr>
      </w:pPr>
      <w:r>
        <w:rPr>
          <w:rFonts w:eastAsia="Times New Roman"/>
          <w:color w:val="000000"/>
        </w:rPr>
        <w:lastRenderedPageBreak/>
        <w:t>T</w:t>
      </w:r>
      <w:r w:rsidR="00702488" w:rsidRPr="00753F38">
        <w:rPr>
          <w:rFonts w:eastAsia="Times New Roman"/>
          <w:color w:val="000000"/>
        </w:rPr>
        <w:t>wo</w:t>
      </w:r>
      <w:r w:rsidR="0043580D" w:rsidRPr="00FD4B30">
        <w:rPr>
          <w:rFonts w:eastAsia="Times New Roman"/>
          <w:color w:val="000000"/>
        </w:rPr>
        <w:t xml:space="preserve"> </w:t>
      </w:r>
      <w:r w:rsidR="00BA0FA6">
        <w:rPr>
          <w:rFonts w:eastAsia="Times New Roman"/>
          <w:color w:val="000000"/>
        </w:rPr>
        <w:t>features of</w:t>
      </w:r>
      <w:r w:rsidR="008308F2" w:rsidRPr="00FD4B30">
        <w:rPr>
          <w:rFonts w:eastAsia="Times New Roman"/>
          <w:color w:val="000000"/>
        </w:rPr>
        <w:t xml:space="preserve"> </w:t>
      </w:r>
      <w:r w:rsidR="000B5319">
        <w:rPr>
          <w:rFonts w:eastAsia="Times New Roman"/>
          <w:color w:val="000000"/>
        </w:rPr>
        <w:t>the</w:t>
      </w:r>
      <w:r w:rsidR="008724B4">
        <w:rPr>
          <w:rFonts w:eastAsia="Times New Roman"/>
          <w:color w:val="000000"/>
        </w:rPr>
        <w:t xml:space="preserve"> new</w:t>
      </w:r>
      <w:r w:rsidR="000B5319">
        <w:rPr>
          <w:rFonts w:eastAsia="Times New Roman"/>
          <w:color w:val="000000"/>
        </w:rPr>
        <w:t xml:space="preserve"> </w:t>
      </w:r>
      <w:r w:rsidR="00A821AD" w:rsidRPr="00FD4B30">
        <w:rPr>
          <w:rFonts w:eastAsia="Times New Roman"/>
          <w:color w:val="000000"/>
        </w:rPr>
        <w:t xml:space="preserve">derivatives </w:t>
      </w:r>
      <w:r w:rsidR="00887B89" w:rsidRPr="00FD4B30">
        <w:rPr>
          <w:rFonts w:eastAsia="Times New Roman"/>
          <w:color w:val="000000"/>
        </w:rPr>
        <w:t>appeal</w:t>
      </w:r>
      <w:r w:rsidR="001D67F7">
        <w:rPr>
          <w:rFonts w:eastAsia="Times New Roman"/>
          <w:color w:val="000000"/>
        </w:rPr>
        <w:t>ed</w:t>
      </w:r>
      <w:r w:rsidR="000B5319">
        <w:rPr>
          <w:rFonts w:eastAsia="Times New Roman"/>
          <w:color w:val="000000"/>
        </w:rPr>
        <w:t xml:space="preserve"> to</w:t>
      </w:r>
      <w:r w:rsidR="00B91F5C">
        <w:rPr>
          <w:rFonts w:eastAsia="Times New Roman"/>
          <w:color w:val="000000"/>
        </w:rPr>
        <w:t xml:space="preserve"> CROs</w:t>
      </w:r>
      <w:r w:rsidR="00A821AD" w:rsidRPr="00FD4B30">
        <w:rPr>
          <w:rFonts w:eastAsia="Times New Roman"/>
          <w:color w:val="000000"/>
        </w:rPr>
        <w:t xml:space="preserve">. </w:t>
      </w:r>
      <w:r w:rsidR="00F56399" w:rsidRPr="00FD4B30">
        <w:rPr>
          <w:rFonts w:eastAsia="Times New Roman"/>
          <w:color w:val="231F20"/>
          <w:shd w:val="clear" w:color="auto" w:fill="FFFFFF"/>
        </w:rPr>
        <w:t>First</w:t>
      </w:r>
      <w:r w:rsidR="00F56399" w:rsidRPr="005B2B80">
        <w:rPr>
          <w:rFonts w:eastAsia="Times New Roman"/>
          <w:color w:val="231F20"/>
          <w:shd w:val="clear" w:color="auto" w:fill="FFFFFF"/>
        </w:rPr>
        <w:t xml:space="preserve">, </w:t>
      </w:r>
      <w:r w:rsidR="001F3A5F">
        <w:rPr>
          <w:rFonts w:eastAsia="Times New Roman"/>
          <w:color w:val="231F20"/>
          <w:shd w:val="clear" w:color="auto" w:fill="FFFFFF"/>
        </w:rPr>
        <w:t>contracts</w:t>
      </w:r>
      <w:r w:rsidR="00887B89" w:rsidRPr="005B2B80">
        <w:rPr>
          <w:rFonts w:eastAsia="Times New Roman"/>
          <w:color w:val="231F20"/>
          <w:shd w:val="clear" w:color="auto" w:fill="FFFFFF"/>
        </w:rPr>
        <w:t xml:space="preserve"> were</w:t>
      </w:r>
      <w:r w:rsidR="000173DE">
        <w:rPr>
          <w:rFonts w:eastAsia="Times New Roman"/>
          <w:color w:val="231F20"/>
          <w:shd w:val="clear" w:color="auto" w:fill="FFFFFF"/>
        </w:rPr>
        <w:t xml:space="preserve"> bespoke, </w:t>
      </w:r>
      <w:r w:rsidR="00D97152">
        <w:rPr>
          <w:rFonts w:eastAsia="Times New Roman"/>
          <w:color w:val="231F20"/>
          <w:shd w:val="clear" w:color="auto" w:fill="FFFFFF"/>
        </w:rPr>
        <w:t xml:space="preserve">which </w:t>
      </w:r>
      <w:r w:rsidR="009F4DC3">
        <w:rPr>
          <w:rFonts w:eastAsia="Times New Roman"/>
          <w:color w:val="231F20"/>
          <w:shd w:val="clear" w:color="auto" w:fill="FFFFFF"/>
        </w:rPr>
        <w:t xml:space="preserve">made them </w:t>
      </w:r>
      <w:r w:rsidR="008955F3" w:rsidRPr="005B2B80">
        <w:rPr>
          <w:rFonts w:eastAsia="Times New Roman"/>
          <w:color w:val="231F20"/>
          <w:shd w:val="clear" w:color="auto" w:fill="FFFFFF"/>
        </w:rPr>
        <w:t xml:space="preserve">particularly useful </w:t>
      </w:r>
      <w:r w:rsidR="008A139C">
        <w:rPr>
          <w:rFonts w:eastAsia="Times New Roman"/>
          <w:color w:val="231F20"/>
          <w:shd w:val="clear" w:color="auto" w:fill="FFFFFF"/>
        </w:rPr>
        <w:t>to portfolio managers</w:t>
      </w:r>
      <w:r w:rsidR="009F4DC3">
        <w:rPr>
          <w:rFonts w:eastAsia="Times New Roman"/>
          <w:color w:val="231F20"/>
          <w:shd w:val="clear" w:color="auto" w:fill="FFFFFF"/>
        </w:rPr>
        <w:t xml:space="preserve"> as “</w:t>
      </w:r>
      <w:r w:rsidR="008955F3" w:rsidRPr="005B2B80">
        <w:rPr>
          <w:rFonts w:eastAsia="Times New Roman"/>
          <w:color w:val="231F20"/>
          <w:shd w:val="clear" w:color="auto" w:fill="FFFFFF"/>
        </w:rPr>
        <w:t xml:space="preserve">a means to obtain a </w:t>
      </w:r>
      <w:r w:rsidR="008955F3" w:rsidRPr="00E53B92">
        <w:rPr>
          <w:rFonts w:eastAsia="Times New Roman"/>
          <w:i/>
          <w:color w:val="231F20"/>
          <w:shd w:val="clear" w:color="auto" w:fill="FFFFFF"/>
        </w:rPr>
        <w:t>customized</w:t>
      </w:r>
      <w:r w:rsidR="008955F3" w:rsidRPr="005B2B80">
        <w:rPr>
          <w:rFonts w:eastAsia="Times New Roman"/>
          <w:color w:val="231F20"/>
          <w:shd w:val="clear" w:color="auto" w:fill="FFFFFF"/>
        </w:rPr>
        <w:t xml:space="preserve"> </w:t>
      </w:r>
      <w:r w:rsidR="00A753D3" w:rsidRPr="005B2B80">
        <w:rPr>
          <w:rFonts w:eastAsia="Times New Roman"/>
          <w:color w:val="231F20"/>
          <w:shd w:val="clear" w:color="auto" w:fill="FFFFFF"/>
        </w:rPr>
        <w:t xml:space="preserve">investment </w:t>
      </w:r>
      <w:r w:rsidR="008955F3" w:rsidRPr="005B2B80">
        <w:rPr>
          <w:rFonts w:eastAsia="Times New Roman"/>
          <w:color w:val="231F20"/>
          <w:shd w:val="clear" w:color="auto" w:fill="FFFFFF"/>
        </w:rPr>
        <w:t xml:space="preserve">or risk management vehicle that </w:t>
      </w:r>
      <w:r w:rsidR="008955F3" w:rsidRPr="00080D5F">
        <w:rPr>
          <w:rFonts w:eastAsia="Times New Roman"/>
          <w:color w:val="231F20"/>
          <w:shd w:val="clear" w:color="auto" w:fill="FFFFFF"/>
        </w:rPr>
        <w:t>exactly meets their goals</w:t>
      </w:r>
      <w:r w:rsidR="008955F3" w:rsidRPr="00607AF4">
        <w:rPr>
          <w:rFonts w:eastAsia="Times New Roman"/>
          <w:color w:val="231F20"/>
          <w:shd w:val="clear" w:color="auto" w:fill="FFFFFF"/>
        </w:rPr>
        <w:t xml:space="preserve">” </w:t>
      </w:r>
      <w:r w:rsidR="000173DE">
        <w:rPr>
          <w:rFonts w:eastAsia="Times New Roman"/>
          <w:color w:val="231F20"/>
          <w:shd w:val="clear" w:color="auto" w:fill="FFFFFF"/>
        </w:rPr>
        <w:t xml:space="preserve">of fine-tuning exposures as circumstances change </w:t>
      </w:r>
      <w:r w:rsidR="008955F3" w:rsidRPr="00607AF4">
        <w:rPr>
          <w:rFonts w:eastAsia="Times New Roman"/>
          <w:color w:val="231F20"/>
          <w:shd w:val="clear" w:color="auto" w:fill="FFFFFF"/>
        </w:rPr>
        <w:t xml:space="preserve">(Collins and Fabozzi </w:t>
      </w:r>
      <w:r w:rsidR="00521063" w:rsidRPr="00607AF4">
        <w:rPr>
          <w:rFonts w:eastAsia="Times New Roman"/>
          <w:color w:val="231F20"/>
          <w:shd w:val="clear" w:color="auto" w:fill="FFFFFF"/>
        </w:rPr>
        <w:t>1999</w:t>
      </w:r>
      <w:r w:rsidR="008955F3" w:rsidRPr="00607AF4">
        <w:rPr>
          <w:rFonts w:eastAsia="Times New Roman"/>
          <w:color w:val="231F20"/>
          <w:shd w:val="clear" w:color="auto" w:fill="FFFFFF"/>
        </w:rPr>
        <w:t>:13</w:t>
      </w:r>
      <w:r w:rsidR="000173DE">
        <w:rPr>
          <w:rFonts w:eastAsia="Times New Roman"/>
          <w:color w:val="231F20"/>
          <w:shd w:val="clear" w:color="auto" w:fill="FFFFFF"/>
        </w:rPr>
        <w:t xml:space="preserve">; </w:t>
      </w:r>
      <w:r w:rsidR="002B5A64">
        <w:rPr>
          <w:rFonts w:eastAsia="Times New Roman"/>
          <w:color w:val="000000"/>
        </w:rPr>
        <w:t>Lam 2003</w:t>
      </w:r>
      <w:r w:rsidR="00394241" w:rsidRPr="00A92206">
        <w:rPr>
          <w:rFonts w:eastAsia="Times New Roman"/>
          <w:color w:val="000000"/>
        </w:rPr>
        <w:t xml:space="preserve">). </w:t>
      </w:r>
      <w:r w:rsidR="00F56399" w:rsidRPr="00A92206">
        <w:rPr>
          <w:rFonts w:eastAsia="Times New Roman"/>
          <w:color w:val="231F20"/>
          <w:shd w:val="clear" w:color="auto" w:fill="FFFFFF"/>
        </w:rPr>
        <w:t xml:space="preserve">Second, </w:t>
      </w:r>
      <w:r w:rsidR="009178BA">
        <w:rPr>
          <w:rFonts w:eastAsia="Times New Roman"/>
          <w:color w:val="231F20"/>
          <w:shd w:val="clear" w:color="auto" w:fill="FFFFFF"/>
        </w:rPr>
        <w:t>they made it easier</w:t>
      </w:r>
      <w:r w:rsidR="00E54444">
        <w:rPr>
          <w:rFonts w:eastAsia="Times New Roman"/>
          <w:color w:val="231F20"/>
          <w:shd w:val="clear" w:color="auto" w:fill="FFFFFF"/>
        </w:rPr>
        <w:t xml:space="preserve"> to </w:t>
      </w:r>
      <w:r w:rsidR="00F259AA">
        <w:rPr>
          <w:rFonts w:eastAsia="Times New Roman"/>
          <w:color w:val="231F20"/>
          <w:shd w:val="clear" w:color="auto" w:fill="FFFFFF"/>
        </w:rPr>
        <w:t xml:space="preserve">shed or acquire </w:t>
      </w:r>
      <w:r w:rsidR="00E54444">
        <w:rPr>
          <w:rFonts w:eastAsia="Times New Roman"/>
          <w:color w:val="231F20"/>
          <w:shd w:val="clear" w:color="auto" w:fill="FFFFFF"/>
        </w:rPr>
        <w:t xml:space="preserve">exposure to </w:t>
      </w:r>
      <w:r w:rsidR="00483174" w:rsidRPr="000922D7">
        <w:rPr>
          <w:rFonts w:eastAsia="Times New Roman"/>
          <w:color w:val="231F20"/>
          <w:shd w:val="clear" w:color="auto" w:fill="FFFFFF"/>
        </w:rPr>
        <w:t xml:space="preserve">new </w:t>
      </w:r>
      <w:r w:rsidR="00E54444" w:rsidRPr="000922D7">
        <w:rPr>
          <w:rFonts w:eastAsia="Times New Roman"/>
          <w:color w:val="231F20"/>
          <w:shd w:val="clear" w:color="auto" w:fill="FFFFFF"/>
        </w:rPr>
        <w:t>categor</w:t>
      </w:r>
      <w:r w:rsidR="00483174" w:rsidRPr="000922D7">
        <w:rPr>
          <w:rFonts w:eastAsia="Times New Roman"/>
          <w:color w:val="231F20"/>
          <w:shd w:val="clear" w:color="auto" w:fill="FFFFFF"/>
        </w:rPr>
        <w:t>ies</w:t>
      </w:r>
      <w:r w:rsidR="00483174">
        <w:rPr>
          <w:rFonts w:eastAsia="Times New Roman"/>
          <w:color w:val="231F20"/>
          <w:shd w:val="clear" w:color="auto" w:fill="FFFFFF"/>
        </w:rPr>
        <w:t xml:space="preserve"> </w:t>
      </w:r>
      <w:r w:rsidR="00E54444">
        <w:rPr>
          <w:rFonts w:eastAsia="Times New Roman"/>
          <w:color w:val="231F20"/>
          <w:shd w:val="clear" w:color="auto" w:fill="FFFFFF"/>
        </w:rPr>
        <w:t xml:space="preserve">of </w:t>
      </w:r>
      <w:r w:rsidR="003F4FFD">
        <w:rPr>
          <w:rFonts w:eastAsia="Times New Roman"/>
          <w:color w:val="231F20"/>
          <w:shd w:val="clear" w:color="auto" w:fill="FFFFFF"/>
        </w:rPr>
        <w:t>investments</w:t>
      </w:r>
      <w:r w:rsidR="00E54444">
        <w:rPr>
          <w:rFonts w:eastAsia="Times New Roman"/>
          <w:color w:val="231F20"/>
          <w:shd w:val="clear" w:color="auto" w:fill="FFFFFF"/>
        </w:rPr>
        <w:t>.</w:t>
      </w:r>
      <w:r w:rsidR="00483174">
        <w:rPr>
          <w:rFonts w:eastAsia="Times New Roman"/>
          <w:color w:val="231F20"/>
          <w:shd w:val="clear" w:color="auto" w:fill="FFFFFF"/>
        </w:rPr>
        <w:t xml:space="preserve"> </w:t>
      </w:r>
      <w:r w:rsidR="00DC5722">
        <w:rPr>
          <w:rFonts w:eastAsia="Times New Roman"/>
          <w:color w:val="231F20"/>
          <w:shd w:val="clear" w:color="auto" w:fill="FFFFFF"/>
        </w:rPr>
        <w:t xml:space="preserve">Previously, it had been difficult for </w:t>
      </w:r>
      <w:r w:rsidR="00A05D64" w:rsidRPr="002C254C">
        <w:rPr>
          <w:rFonts w:eastAsia="Times New Roman"/>
          <w:color w:val="231F20"/>
          <w:shd w:val="clear" w:color="auto" w:fill="FFFFFF"/>
        </w:rPr>
        <w:t xml:space="preserve">banks to </w:t>
      </w:r>
      <w:r w:rsidR="007904ED">
        <w:rPr>
          <w:rFonts w:eastAsia="Times New Roman"/>
          <w:color w:val="231F20"/>
          <w:shd w:val="clear" w:color="auto" w:fill="FFFFFF"/>
        </w:rPr>
        <w:t xml:space="preserve">offload </w:t>
      </w:r>
      <w:r w:rsidR="00697182">
        <w:rPr>
          <w:rFonts w:eastAsia="Times New Roman"/>
          <w:color w:val="231F20"/>
          <w:shd w:val="clear" w:color="auto" w:fill="FFFFFF"/>
        </w:rPr>
        <w:t>the risk associated with</w:t>
      </w:r>
      <w:r w:rsidR="006D2298">
        <w:rPr>
          <w:rFonts w:eastAsia="Times New Roman"/>
          <w:color w:val="231F20"/>
          <w:shd w:val="clear" w:color="auto" w:fill="FFFFFF"/>
        </w:rPr>
        <w:t xml:space="preserve"> </w:t>
      </w:r>
      <w:r w:rsidR="00331979">
        <w:rPr>
          <w:rFonts w:eastAsia="Times New Roman"/>
          <w:color w:val="231F20"/>
          <w:shd w:val="clear" w:color="auto" w:fill="FFFFFF"/>
        </w:rPr>
        <w:t xml:space="preserve">the </w:t>
      </w:r>
      <w:r w:rsidR="006856E6">
        <w:rPr>
          <w:rFonts w:eastAsia="Times New Roman"/>
          <w:color w:val="231F20"/>
          <w:shd w:val="clear" w:color="auto" w:fill="FFFFFF"/>
        </w:rPr>
        <w:t>mortgage</w:t>
      </w:r>
      <w:r w:rsidR="00697182">
        <w:rPr>
          <w:rFonts w:eastAsia="Times New Roman"/>
          <w:color w:val="231F20"/>
          <w:shd w:val="clear" w:color="auto" w:fill="FFFFFF"/>
        </w:rPr>
        <w:t>s</w:t>
      </w:r>
      <w:r w:rsidR="000E6222">
        <w:rPr>
          <w:rFonts w:eastAsia="Times New Roman"/>
          <w:color w:val="231F20"/>
          <w:shd w:val="clear" w:color="auto" w:fill="FFFFFF"/>
        </w:rPr>
        <w:t xml:space="preserve"> </w:t>
      </w:r>
      <w:r w:rsidR="002871D0">
        <w:rPr>
          <w:rFonts w:eastAsia="Times New Roman"/>
          <w:color w:val="231F20"/>
          <w:shd w:val="clear" w:color="auto" w:fill="FFFFFF"/>
        </w:rPr>
        <w:t xml:space="preserve">or loans </w:t>
      </w:r>
      <w:r w:rsidR="00863540">
        <w:rPr>
          <w:rFonts w:eastAsia="Times New Roman"/>
          <w:color w:val="231F20"/>
          <w:shd w:val="clear" w:color="auto" w:fill="FFFFFF"/>
        </w:rPr>
        <w:t xml:space="preserve">they had </w:t>
      </w:r>
      <w:r w:rsidR="000922D7">
        <w:rPr>
          <w:rFonts w:eastAsia="Times New Roman"/>
          <w:color w:val="231F20"/>
          <w:shd w:val="clear" w:color="auto" w:fill="FFFFFF"/>
        </w:rPr>
        <w:t>under</w:t>
      </w:r>
      <w:r w:rsidR="00331979">
        <w:rPr>
          <w:rFonts w:eastAsia="Times New Roman"/>
          <w:color w:val="231F20"/>
          <w:shd w:val="clear" w:color="auto" w:fill="FFFFFF"/>
        </w:rPr>
        <w:t>written</w:t>
      </w:r>
      <w:r w:rsidR="00DC5722">
        <w:rPr>
          <w:rFonts w:eastAsia="Times New Roman"/>
          <w:color w:val="231F20"/>
          <w:shd w:val="clear" w:color="auto" w:fill="FFFFFF"/>
        </w:rPr>
        <w:t xml:space="preserve">, </w:t>
      </w:r>
      <w:r w:rsidR="00E41785">
        <w:rPr>
          <w:rFonts w:eastAsia="Times New Roman"/>
          <w:color w:val="231F20"/>
          <w:shd w:val="clear" w:color="auto" w:fill="FFFFFF"/>
        </w:rPr>
        <w:t xml:space="preserve">or to </w:t>
      </w:r>
      <w:r w:rsidR="00DC5722">
        <w:rPr>
          <w:rFonts w:eastAsia="Times New Roman"/>
          <w:color w:val="231F20"/>
          <w:shd w:val="clear" w:color="auto" w:fill="FFFFFF"/>
        </w:rPr>
        <w:t xml:space="preserve">acquire exposure to </w:t>
      </w:r>
      <w:r w:rsidR="00485B11">
        <w:rPr>
          <w:rFonts w:eastAsia="Times New Roman"/>
          <w:color w:val="231F20"/>
          <w:shd w:val="clear" w:color="auto" w:fill="FFFFFF"/>
        </w:rPr>
        <w:t>loans or</w:t>
      </w:r>
      <w:r w:rsidR="00203F18">
        <w:rPr>
          <w:rFonts w:eastAsia="Times New Roman"/>
          <w:color w:val="231F20"/>
          <w:shd w:val="clear" w:color="auto" w:fill="FFFFFF"/>
        </w:rPr>
        <w:t xml:space="preserve"> </w:t>
      </w:r>
      <w:r w:rsidR="00753A9F">
        <w:rPr>
          <w:rFonts w:eastAsia="Times New Roman"/>
          <w:color w:val="231F20"/>
          <w:shd w:val="clear" w:color="auto" w:fill="FFFFFF"/>
        </w:rPr>
        <w:t xml:space="preserve">complex </w:t>
      </w:r>
      <w:r w:rsidR="00CF2EA5">
        <w:rPr>
          <w:rFonts w:eastAsia="Times New Roman"/>
          <w:color w:val="231F20"/>
          <w:shd w:val="clear" w:color="auto" w:fill="FFFFFF"/>
        </w:rPr>
        <w:t>securities</w:t>
      </w:r>
      <w:r w:rsidR="00485B11">
        <w:rPr>
          <w:rFonts w:eastAsia="Times New Roman"/>
          <w:color w:val="231F20"/>
          <w:shd w:val="clear" w:color="auto" w:fill="FFFFFF"/>
        </w:rPr>
        <w:t xml:space="preserve"> </w:t>
      </w:r>
      <w:r w:rsidR="0084192C">
        <w:rPr>
          <w:rFonts w:eastAsia="Times New Roman"/>
          <w:color w:val="231F20"/>
          <w:shd w:val="clear" w:color="auto" w:fill="FFFFFF"/>
        </w:rPr>
        <w:t xml:space="preserve">they did not </w:t>
      </w:r>
      <w:r w:rsidR="0084192C" w:rsidRPr="003754FD">
        <w:rPr>
          <w:rFonts w:eastAsia="Times New Roman"/>
          <w:color w:val="231F20"/>
          <w:shd w:val="clear" w:color="auto" w:fill="FFFFFF"/>
        </w:rPr>
        <w:t>own</w:t>
      </w:r>
      <w:r w:rsidR="00DC5722" w:rsidRPr="003754FD">
        <w:rPr>
          <w:rFonts w:eastAsia="Times New Roman"/>
          <w:color w:val="231F20"/>
          <w:shd w:val="clear" w:color="auto" w:fill="FFFFFF"/>
        </w:rPr>
        <w:t xml:space="preserve">. </w:t>
      </w:r>
      <w:r w:rsidR="00760138" w:rsidRPr="003754FD">
        <w:rPr>
          <w:rFonts w:eastAsia="Times New Roman"/>
          <w:color w:val="231F20"/>
          <w:shd w:val="clear" w:color="auto" w:fill="FFFFFF"/>
        </w:rPr>
        <w:t>The</w:t>
      </w:r>
      <w:r w:rsidR="00331979" w:rsidRPr="003754FD">
        <w:rPr>
          <w:rFonts w:eastAsia="Times New Roman"/>
          <w:color w:val="231F20"/>
          <w:shd w:val="clear" w:color="auto" w:fill="FFFFFF"/>
        </w:rPr>
        <w:t xml:space="preserve"> </w:t>
      </w:r>
      <w:r w:rsidR="00DD7DA4" w:rsidRPr="003754FD">
        <w:rPr>
          <w:rFonts w:eastAsia="Times New Roman"/>
          <w:color w:val="231F20"/>
          <w:shd w:val="clear" w:color="auto" w:fill="FFFFFF"/>
        </w:rPr>
        <w:t>new derivatives</w:t>
      </w:r>
      <w:r w:rsidR="00331979" w:rsidRPr="003754FD">
        <w:rPr>
          <w:rFonts w:eastAsia="Times New Roman"/>
          <w:color w:val="231F20"/>
          <w:shd w:val="clear" w:color="auto" w:fill="FFFFFF"/>
        </w:rPr>
        <w:t xml:space="preserve"> </w:t>
      </w:r>
      <w:r w:rsidR="000173DE">
        <w:rPr>
          <w:rFonts w:eastAsia="Times New Roman"/>
          <w:color w:val="231F20"/>
          <w:shd w:val="clear" w:color="auto" w:fill="FFFFFF"/>
        </w:rPr>
        <w:t xml:space="preserve">made these things possible. </w:t>
      </w:r>
      <w:r w:rsidR="000440BE" w:rsidRPr="003754FD">
        <w:rPr>
          <w:rFonts w:eastAsia="Times New Roman"/>
          <w:color w:val="231F20"/>
          <w:shd w:val="clear" w:color="auto" w:fill="FFFFFF"/>
        </w:rPr>
        <w:t xml:space="preserve">For instance, synthetic CDOs allowed banks to </w:t>
      </w:r>
      <w:r w:rsidR="00CB0CAD">
        <w:rPr>
          <w:rFonts w:eastAsia="Times New Roman"/>
          <w:color w:val="231F20"/>
          <w:shd w:val="clear" w:color="auto" w:fill="FFFFFF"/>
        </w:rPr>
        <w:t xml:space="preserve">acquire </w:t>
      </w:r>
      <w:r w:rsidR="00535D29" w:rsidRPr="003754FD">
        <w:rPr>
          <w:rFonts w:eastAsia="Times New Roman"/>
          <w:color w:val="231F20"/>
          <w:shd w:val="clear" w:color="auto" w:fill="FFFFFF"/>
        </w:rPr>
        <w:t xml:space="preserve">exposure to </w:t>
      </w:r>
      <w:r w:rsidR="00CB0CAD">
        <w:rPr>
          <w:rFonts w:eastAsia="Times New Roman"/>
          <w:color w:val="231F20"/>
          <w:shd w:val="clear" w:color="auto" w:fill="FFFFFF"/>
        </w:rPr>
        <w:t xml:space="preserve">the </w:t>
      </w:r>
      <w:r w:rsidR="003754FD">
        <w:rPr>
          <w:rFonts w:eastAsia="Times New Roman"/>
          <w:color w:val="231F20"/>
          <w:shd w:val="clear" w:color="auto" w:fill="FFFFFF"/>
        </w:rPr>
        <w:t xml:space="preserve">performance of </w:t>
      </w:r>
      <w:r w:rsidR="00535D29" w:rsidRPr="003754FD">
        <w:rPr>
          <w:rFonts w:eastAsia="Times New Roman"/>
          <w:color w:val="231F20"/>
          <w:shd w:val="clear" w:color="auto" w:fill="FFFFFF"/>
        </w:rPr>
        <w:t xml:space="preserve">mortgage </w:t>
      </w:r>
      <w:r w:rsidR="001C24B5" w:rsidRPr="003754FD">
        <w:rPr>
          <w:rFonts w:eastAsia="Times New Roman"/>
          <w:color w:val="231F20"/>
          <w:shd w:val="clear" w:color="auto" w:fill="FFFFFF"/>
        </w:rPr>
        <w:t>assets</w:t>
      </w:r>
      <w:r w:rsidR="00CB0CAD">
        <w:rPr>
          <w:rFonts w:eastAsia="Times New Roman"/>
          <w:color w:val="231F20"/>
          <w:shd w:val="clear" w:color="auto" w:fill="FFFFFF"/>
        </w:rPr>
        <w:t xml:space="preserve"> with high rates of return</w:t>
      </w:r>
      <w:r w:rsidR="00535D29" w:rsidRPr="003754FD">
        <w:rPr>
          <w:rFonts w:eastAsia="Times New Roman"/>
          <w:color w:val="231F20"/>
          <w:shd w:val="clear" w:color="auto" w:fill="FFFFFF"/>
        </w:rPr>
        <w:t>, without actually buy</w:t>
      </w:r>
      <w:r w:rsidR="001C24B5" w:rsidRPr="003754FD">
        <w:rPr>
          <w:rFonts w:eastAsia="Times New Roman"/>
          <w:color w:val="231F20"/>
          <w:shd w:val="clear" w:color="auto" w:fill="FFFFFF"/>
        </w:rPr>
        <w:t>ing the mortgages</w:t>
      </w:r>
      <w:r w:rsidR="008E78DB" w:rsidRPr="003754FD">
        <w:rPr>
          <w:rFonts w:eastAsia="Times New Roman"/>
          <w:color w:val="231F20"/>
          <w:shd w:val="clear" w:color="auto" w:fill="FFFFFF"/>
        </w:rPr>
        <w:t xml:space="preserve"> (Financial Crisis Inquiry Commission 2011)</w:t>
      </w:r>
      <w:r w:rsidR="00333224" w:rsidRPr="003754FD">
        <w:rPr>
          <w:rFonts w:eastAsia="Times New Roman"/>
          <w:color w:val="231F20"/>
          <w:shd w:val="clear" w:color="auto" w:fill="FFFFFF"/>
        </w:rPr>
        <w:t>.</w:t>
      </w:r>
      <w:r w:rsidR="0034641E" w:rsidRPr="003754FD">
        <w:rPr>
          <w:rFonts w:eastAsia="Times New Roman"/>
          <w:color w:val="231F20"/>
          <w:shd w:val="clear" w:color="auto" w:fill="FFFFFF"/>
        </w:rPr>
        <w:t xml:space="preserve"> </w:t>
      </w:r>
      <w:r w:rsidR="006456EF" w:rsidRPr="003754FD">
        <w:rPr>
          <w:rFonts w:eastAsia="Times New Roman"/>
          <w:color w:val="231F20"/>
          <w:shd w:val="clear" w:color="auto" w:fill="FFFFFF"/>
        </w:rPr>
        <w:t xml:space="preserve">Similarly, </w:t>
      </w:r>
      <w:r w:rsidR="005F17C6" w:rsidRPr="003754FD">
        <w:rPr>
          <w:rFonts w:eastAsia="Times New Roman"/>
          <w:color w:val="231F20"/>
          <w:shd w:val="clear" w:color="auto" w:fill="FFFFFF"/>
        </w:rPr>
        <w:t>OTC options and swaps</w:t>
      </w:r>
      <w:r w:rsidR="00567B02" w:rsidRPr="003754FD">
        <w:rPr>
          <w:rFonts w:eastAsia="Times New Roman"/>
          <w:color w:val="231F20"/>
          <w:shd w:val="clear" w:color="auto" w:fill="FFFFFF"/>
        </w:rPr>
        <w:t xml:space="preserve"> </w:t>
      </w:r>
      <w:r w:rsidR="001C24B5" w:rsidRPr="003754FD">
        <w:rPr>
          <w:rFonts w:eastAsia="Times New Roman"/>
          <w:color w:val="231F20"/>
          <w:shd w:val="clear" w:color="auto" w:fill="FFFFFF"/>
        </w:rPr>
        <w:t xml:space="preserve">gave banks the tools to partake in </w:t>
      </w:r>
      <w:r w:rsidR="00682F17" w:rsidRPr="003754FD">
        <w:rPr>
          <w:rFonts w:eastAsia="Times New Roman"/>
          <w:color w:val="231F20"/>
          <w:shd w:val="clear" w:color="auto" w:fill="FFFFFF"/>
        </w:rPr>
        <w:t xml:space="preserve">risk-transfer </w:t>
      </w:r>
      <w:r w:rsidR="00175606" w:rsidRPr="003754FD">
        <w:rPr>
          <w:rFonts w:eastAsia="Times New Roman"/>
          <w:color w:val="231F20"/>
          <w:shd w:val="clear" w:color="auto" w:fill="FFFFFF"/>
        </w:rPr>
        <w:t xml:space="preserve">transactions </w:t>
      </w:r>
      <w:r w:rsidR="001C24B5" w:rsidRPr="003754FD">
        <w:rPr>
          <w:rFonts w:eastAsia="Times New Roman"/>
          <w:color w:val="231F20"/>
          <w:shd w:val="clear" w:color="auto" w:fill="FFFFFF"/>
        </w:rPr>
        <w:t>-</w:t>
      </w:r>
      <w:r w:rsidR="001C24B5">
        <w:rPr>
          <w:rFonts w:eastAsia="Times New Roman"/>
          <w:color w:val="231F20"/>
          <w:shd w:val="clear" w:color="auto" w:fill="FFFFFF"/>
        </w:rPr>
        <w:t xml:space="preserve"> like swapping payments in American dollars for payments in Canadian dollars, or </w:t>
      </w:r>
      <w:r w:rsidR="00404F97">
        <w:rPr>
          <w:rFonts w:eastAsia="Times New Roman"/>
          <w:color w:val="231F20"/>
          <w:shd w:val="clear" w:color="auto" w:fill="FFFFFF"/>
        </w:rPr>
        <w:t xml:space="preserve">choosing whether an option is a put or call </w:t>
      </w:r>
      <w:r w:rsidR="001025BE">
        <w:rPr>
          <w:rFonts w:eastAsia="Times New Roman"/>
          <w:color w:val="231F20"/>
          <w:shd w:val="clear" w:color="auto" w:fill="FFFFFF"/>
        </w:rPr>
        <w:t xml:space="preserve">at a later point in </w:t>
      </w:r>
      <w:r w:rsidR="00404F97">
        <w:rPr>
          <w:rFonts w:eastAsia="Times New Roman"/>
          <w:color w:val="231F20"/>
          <w:shd w:val="clear" w:color="auto" w:fill="FFFFFF"/>
        </w:rPr>
        <w:t xml:space="preserve">the option’s life - </w:t>
      </w:r>
      <w:r w:rsidR="00DD7DA4" w:rsidRPr="006456EF">
        <w:rPr>
          <w:rFonts w:eastAsia="Times New Roman"/>
          <w:color w:val="231F20"/>
          <w:shd w:val="clear" w:color="auto" w:fill="FFFFFF"/>
        </w:rPr>
        <w:t xml:space="preserve">that had </w:t>
      </w:r>
      <w:r w:rsidR="008E78DB">
        <w:rPr>
          <w:rFonts w:eastAsia="Times New Roman"/>
          <w:color w:val="231F20"/>
          <w:shd w:val="clear" w:color="auto" w:fill="FFFFFF"/>
        </w:rPr>
        <w:t>previously</w:t>
      </w:r>
      <w:r w:rsidR="009924AF">
        <w:rPr>
          <w:rFonts w:eastAsia="Times New Roman"/>
          <w:color w:val="231F20"/>
          <w:shd w:val="clear" w:color="auto" w:fill="FFFFFF"/>
        </w:rPr>
        <w:t xml:space="preserve"> </w:t>
      </w:r>
      <w:r w:rsidR="00DD7DA4" w:rsidRPr="006456EF">
        <w:rPr>
          <w:rFonts w:eastAsia="Times New Roman"/>
          <w:color w:val="231F20"/>
          <w:shd w:val="clear" w:color="auto" w:fill="FFFFFF"/>
        </w:rPr>
        <w:t xml:space="preserve">been </w:t>
      </w:r>
      <w:r w:rsidR="00DC3D7A" w:rsidRPr="006456EF">
        <w:rPr>
          <w:rFonts w:eastAsia="Times New Roman"/>
          <w:color w:val="231F20"/>
          <w:shd w:val="clear" w:color="auto" w:fill="FFFFFF"/>
        </w:rPr>
        <w:t>im</w:t>
      </w:r>
      <w:r w:rsidR="00DD7DA4" w:rsidRPr="006456EF">
        <w:rPr>
          <w:rFonts w:eastAsia="Times New Roman"/>
          <w:color w:val="231F20"/>
          <w:shd w:val="clear" w:color="auto" w:fill="FFFFFF"/>
        </w:rPr>
        <w:t>possible</w:t>
      </w:r>
      <w:r w:rsidR="000C4262" w:rsidRPr="006456EF">
        <w:rPr>
          <w:rFonts w:eastAsia="Times New Roman"/>
          <w:color w:val="231F20"/>
          <w:shd w:val="clear" w:color="auto" w:fill="FFFFFF"/>
        </w:rPr>
        <w:t xml:space="preserve">, or </w:t>
      </w:r>
      <w:r w:rsidR="00331979">
        <w:rPr>
          <w:rFonts w:eastAsia="Times New Roman"/>
          <w:color w:val="231F20"/>
          <w:shd w:val="clear" w:color="auto" w:fill="FFFFFF"/>
        </w:rPr>
        <w:t xml:space="preserve">prohibitively </w:t>
      </w:r>
      <w:r w:rsidR="00331979" w:rsidRPr="007E2EF3">
        <w:rPr>
          <w:rFonts w:eastAsia="Times New Roman"/>
          <w:color w:val="231F20"/>
          <w:shd w:val="clear" w:color="auto" w:fill="FFFFFF"/>
        </w:rPr>
        <w:t xml:space="preserve">expensive, </w:t>
      </w:r>
      <w:r w:rsidR="00FE3489" w:rsidRPr="007E2EF3">
        <w:rPr>
          <w:rFonts w:eastAsia="Times New Roman"/>
          <w:color w:val="231F20"/>
          <w:shd w:val="clear" w:color="auto" w:fill="FFFFFF"/>
        </w:rPr>
        <w:t>to execute</w:t>
      </w:r>
      <w:r w:rsidR="00DD7DA4" w:rsidRPr="007E2EF3">
        <w:rPr>
          <w:rFonts w:eastAsia="Times New Roman"/>
          <w:color w:val="231F20"/>
          <w:shd w:val="clear" w:color="auto" w:fill="FFFFFF"/>
        </w:rPr>
        <w:t>.</w:t>
      </w:r>
      <w:r w:rsidR="00B76549" w:rsidRPr="007E2EF3">
        <w:rPr>
          <w:rFonts w:eastAsia="Times New Roman"/>
          <w:color w:val="231F20"/>
          <w:shd w:val="clear" w:color="auto" w:fill="FFFFFF"/>
        </w:rPr>
        <w:t xml:space="preserve"> </w:t>
      </w:r>
    </w:p>
    <w:p w14:paraId="0E5203EB" w14:textId="6D9790FF" w:rsidR="00DD55CE" w:rsidRDefault="007331CB" w:rsidP="0055062C">
      <w:pPr>
        <w:tabs>
          <w:tab w:val="left" w:pos="4590"/>
        </w:tabs>
        <w:spacing w:line="480" w:lineRule="auto"/>
        <w:ind w:firstLine="720"/>
      </w:pPr>
      <w:r w:rsidRPr="007E2EF3">
        <w:t xml:space="preserve">We suggest that CROs </w:t>
      </w:r>
      <w:r w:rsidR="006044D3" w:rsidRPr="007E2EF3">
        <w:t xml:space="preserve">encouraged departments to use new derivatives </w:t>
      </w:r>
      <w:r w:rsidR="00485A80" w:rsidRPr="007E2EF3">
        <w:t>in the course of implementing enterprise risk management</w:t>
      </w:r>
      <w:r w:rsidR="00AD585C" w:rsidRPr="007E2EF3">
        <w:t xml:space="preserve">. </w:t>
      </w:r>
      <w:r w:rsidR="00223B99" w:rsidRPr="007E2EF3">
        <w:t>Accordingly</w:t>
      </w:r>
      <w:r w:rsidR="00223B99" w:rsidRPr="00882AE9">
        <w:t>, w</w:t>
      </w:r>
      <w:r w:rsidR="003060C2" w:rsidRPr="00882AE9">
        <w:t xml:space="preserve">e predict that banks </w:t>
      </w:r>
      <w:r w:rsidR="0078119F" w:rsidRPr="00882AE9">
        <w:t xml:space="preserve">that appoint </w:t>
      </w:r>
      <w:r w:rsidR="00AD585C" w:rsidRPr="00882AE9">
        <w:t xml:space="preserve">CROs </w:t>
      </w:r>
      <w:r w:rsidR="003060C2" w:rsidRPr="00882AE9">
        <w:t xml:space="preserve">will </w:t>
      </w:r>
      <w:r w:rsidR="00C26345" w:rsidRPr="00882AE9">
        <w:t xml:space="preserve">increase holdings of </w:t>
      </w:r>
      <w:r w:rsidR="005F713A" w:rsidRPr="00882AE9">
        <w:t>new</w:t>
      </w:r>
      <w:r w:rsidR="00C44725" w:rsidRPr="00882AE9">
        <w:t xml:space="preserve"> </w:t>
      </w:r>
      <w:r w:rsidR="003060C2" w:rsidRPr="00882AE9">
        <w:t>derivatives.</w:t>
      </w:r>
      <w:r w:rsidR="0078119F" w:rsidRPr="00882AE9">
        <w:t xml:space="preserve"> </w:t>
      </w:r>
      <w:r w:rsidR="004F35B6" w:rsidRPr="00882AE9">
        <w:t>We do not expect lower-level risk managers to have</w:t>
      </w:r>
      <w:r w:rsidR="004F35B6" w:rsidRPr="004F35B6">
        <w:t xml:space="preserve"> the same effect because they did not have the authority to direct corporate strategy. </w:t>
      </w:r>
    </w:p>
    <w:p w14:paraId="2258A894" w14:textId="5E704404" w:rsidR="00E44EE3" w:rsidRPr="00BA3241" w:rsidRDefault="004F35B6" w:rsidP="00DD55CE">
      <w:pPr>
        <w:rPr>
          <w:i/>
        </w:rPr>
      </w:pPr>
      <w:r w:rsidRPr="004F35B6">
        <w:rPr>
          <w:i/>
        </w:rPr>
        <w:t xml:space="preserve">Hypothesis 1: Appointment of a chief risk officer will increase a bank’s reliance on </w:t>
      </w:r>
      <w:r w:rsidR="005F713A">
        <w:rPr>
          <w:i/>
        </w:rPr>
        <w:t xml:space="preserve">the newer types of </w:t>
      </w:r>
      <w:r w:rsidRPr="004F35B6">
        <w:rPr>
          <w:i/>
        </w:rPr>
        <w:t xml:space="preserve">derivatives. </w:t>
      </w:r>
    </w:p>
    <w:p w14:paraId="5114D1C4" w14:textId="77777777" w:rsidR="0009450A" w:rsidRDefault="0009450A" w:rsidP="00622847">
      <w:pPr>
        <w:spacing w:line="480" w:lineRule="auto"/>
      </w:pPr>
    </w:p>
    <w:p w14:paraId="77E87DBD" w14:textId="7B6D133A" w:rsidR="00050F25" w:rsidRDefault="00DD0B3F" w:rsidP="00622847">
      <w:pPr>
        <w:spacing w:line="480" w:lineRule="auto"/>
        <w:rPr>
          <w:b/>
        </w:rPr>
      </w:pPr>
      <w:r w:rsidRPr="00080D5F">
        <w:rPr>
          <w:b/>
        </w:rPr>
        <w:t xml:space="preserve">How </w:t>
      </w:r>
      <w:r w:rsidR="009F1DB8" w:rsidRPr="00080D5F">
        <w:rPr>
          <w:b/>
        </w:rPr>
        <w:t xml:space="preserve">Power Dynamics Mediate the Success of </w:t>
      </w:r>
      <w:r w:rsidR="00663901" w:rsidRPr="00080D5F">
        <w:rPr>
          <w:b/>
        </w:rPr>
        <w:t xml:space="preserve">Expert </w:t>
      </w:r>
      <w:r w:rsidR="009F1DB8" w:rsidRPr="00080D5F">
        <w:rPr>
          <w:b/>
        </w:rPr>
        <w:t>Projects</w:t>
      </w:r>
    </w:p>
    <w:p w14:paraId="78017A3D" w14:textId="1406C7B6" w:rsidR="00937463" w:rsidRPr="003B65D7" w:rsidRDefault="0097322C" w:rsidP="00622847">
      <w:pPr>
        <w:spacing w:line="480" w:lineRule="auto"/>
        <w:ind w:firstLine="720"/>
        <w:rPr>
          <w:b/>
        </w:rPr>
      </w:pPr>
      <w:proofErr w:type="gramStart"/>
      <w:r>
        <w:t>Institutionalists were criticized early on</w:t>
      </w:r>
      <w:r w:rsidR="006044D3">
        <w:t>,</w:t>
      </w:r>
      <w:r w:rsidR="006044D3" w:rsidRPr="006044D3">
        <w:t xml:space="preserve"> </w:t>
      </w:r>
      <w:r w:rsidR="006044D3">
        <w:t>by both insiders (DiMaggio 1988) and outsiders (Perrow 1986),</w:t>
      </w:r>
      <w:r>
        <w:t xml:space="preserve"> for neglecting the role of power</w:t>
      </w:r>
      <w:r w:rsidR="00772122">
        <w:t xml:space="preserve"> in institutionalization</w:t>
      </w:r>
      <w:proofErr w:type="gramEnd"/>
      <w:r w:rsidR="00772122">
        <w:t xml:space="preserve">. While </w:t>
      </w:r>
      <w:r w:rsidR="006044D3">
        <w:t xml:space="preserve">they </w:t>
      </w:r>
      <w:r w:rsidR="00772122">
        <w:t xml:space="preserve">have </w:t>
      </w:r>
      <w:r w:rsidR="00C25B1C">
        <w:t xml:space="preserve">since </w:t>
      </w:r>
      <w:r w:rsidR="00772122">
        <w:t>explored the role of powerf</w:t>
      </w:r>
      <w:r w:rsidR="00050F25">
        <w:t>ul groups in pushing for change</w:t>
      </w:r>
      <w:r w:rsidR="00772122">
        <w:t xml:space="preserve"> (Fligste</w:t>
      </w:r>
      <w:r w:rsidR="00205F69">
        <w:t xml:space="preserve">in 1990), they have rarely </w:t>
      </w:r>
      <w:r w:rsidR="00205F69">
        <w:lastRenderedPageBreak/>
        <w:t>considered</w:t>
      </w:r>
      <w:r w:rsidR="00772122">
        <w:t xml:space="preserve"> </w:t>
      </w:r>
      <w:r w:rsidR="00C25B1C">
        <w:t xml:space="preserve">contention between groups </w:t>
      </w:r>
      <w:r w:rsidR="00050F25">
        <w:t>within firms</w:t>
      </w:r>
      <w:r w:rsidR="00772122">
        <w:t xml:space="preserve">. One exception is Jung’s (2016) study of </w:t>
      </w:r>
      <w:r w:rsidR="00050F25">
        <w:t xml:space="preserve">how </w:t>
      </w:r>
      <w:r w:rsidR="00772122">
        <w:t xml:space="preserve">managers, workers, and institutional investors </w:t>
      </w:r>
      <w:r w:rsidR="0034151F">
        <w:t>influence downsizing decisions. Two studies have explored how internal groups i</w:t>
      </w:r>
      <w:r w:rsidR="00C25B1C">
        <w:t>nfluence regulatory compliance. K</w:t>
      </w:r>
      <w:r w:rsidR="00ED6E3A" w:rsidRPr="00FE4F4F">
        <w:t xml:space="preserve">ellogg (2009) shows that in teaching hospitals responding to </w:t>
      </w:r>
      <w:r w:rsidR="00050F25">
        <w:t xml:space="preserve">the regulation of </w:t>
      </w:r>
      <w:r w:rsidR="00ED6E3A" w:rsidRPr="00FE4F4F">
        <w:t>surgical</w:t>
      </w:r>
      <w:r w:rsidR="00ED6E3A" w:rsidRPr="00330208">
        <w:t xml:space="preserve"> residents’ hours, entrenched opponents </w:t>
      </w:r>
      <w:r w:rsidR="00050F25">
        <w:t xml:space="preserve">can </w:t>
      </w:r>
      <w:r w:rsidR="0034151F">
        <w:t xml:space="preserve">thwart change. </w:t>
      </w:r>
      <w:r w:rsidR="00ED6E3A" w:rsidRPr="00330208">
        <w:t xml:space="preserve">Dobbin, Kim, and Kalev (2011) show that </w:t>
      </w:r>
      <w:r w:rsidR="0034151F">
        <w:t xml:space="preserve">in corporations responding to equal-opportunity laws, </w:t>
      </w:r>
      <w:r w:rsidR="00050F25">
        <w:t xml:space="preserve">women in management can </w:t>
      </w:r>
      <w:r w:rsidR="00ED6E3A" w:rsidRPr="00330208">
        <w:t xml:space="preserve">reinforce personnel’s </w:t>
      </w:r>
      <w:r w:rsidR="0034151F">
        <w:t xml:space="preserve">advocacy for </w:t>
      </w:r>
      <w:r w:rsidR="00ED6E3A" w:rsidRPr="00330208">
        <w:t xml:space="preserve">diversity programs. </w:t>
      </w:r>
    </w:p>
    <w:p w14:paraId="4FBB55FD" w14:textId="71D27EA9" w:rsidR="0005000B" w:rsidRDefault="00FA206B" w:rsidP="00622847">
      <w:pPr>
        <w:spacing w:line="480" w:lineRule="auto"/>
        <w:ind w:firstLine="720"/>
      </w:pPr>
      <w:r>
        <w:t xml:space="preserve">We expand this approach by considering not only the presence of </w:t>
      </w:r>
      <w:r w:rsidRPr="00BA718E">
        <w:t xml:space="preserve">different groups, </w:t>
      </w:r>
      <w:proofErr w:type="gramStart"/>
      <w:r w:rsidRPr="00BA718E">
        <w:t>but</w:t>
      </w:r>
      <w:proofErr w:type="gramEnd"/>
      <w:r w:rsidRPr="00BA718E">
        <w:t xml:space="preserve"> </w:t>
      </w:r>
      <w:r w:rsidR="00525CFC" w:rsidRPr="00BA718E">
        <w:t xml:space="preserve">their interests vis-à-vis </w:t>
      </w:r>
      <w:r w:rsidR="007F7617" w:rsidRPr="00BA718E">
        <w:t xml:space="preserve">risky, potentially lucrative, </w:t>
      </w:r>
      <w:r w:rsidR="00E709CD" w:rsidRPr="00BA718E">
        <w:t>innovations</w:t>
      </w:r>
      <w:r w:rsidRPr="00BA718E">
        <w:t>. Two groups with the power</w:t>
      </w:r>
      <w:r>
        <w:t xml:space="preserve"> to shape corporate strategy had clear financial interests in the risk profiles of banks -- </w:t>
      </w:r>
      <w:r w:rsidR="00483B39" w:rsidRPr="00850CD3">
        <w:t xml:space="preserve">chief executive officers (CEOs) and </w:t>
      </w:r>
      <w:r w:rsidR="00FE660E">
        <w:t xml:space="preserve">institutional </w:t>
      </w:r>
      <w:r w:rsidR="00FE660E" w:rsidRPr="00A01A77">
        <w:t xml:space="preserve">investors. </w:t>
      </w:r>
      <w:r w:rsidR="006F312F" w:rsidRPr="00A01A77">
        <w:t xml:space="preserve">We suggest that the interests of </w:t>
      </w:r>
      <w:r w:rsidR="00B4247D">
        <w:t xml:space="preserve">particular </w:t>
      </w:r>
      <w:r w:rsidR="001812A9" w:rsidRPr="00A01A77">
        <w:t xml:space="preserve">CEOs and institutional investors </w:t>
      </w:r>
      <w:r w:rsidR="00EB65DF" w:rsidRPr="00A01A77">
        <w:t>are</w:t>
      </w:r>
      <w:r w:rsidR="001765B1" w:rsidRPr="00A01A77">
        <w:t xml:space="preserve"> </w:t>
      </w:r>
      <w:r w:rsidR="006F312F" w:rsidRPr="00A01A77">
        <w:t>shaped by</w:t>
      </w:r>
      <w:r w:rsidR="00CF17A4">
        <w:t xml:space="preserve"> their</w:t>
      </w:r>
      <w:r w:rsidR="006F312F" w:rsidRPr="00A01A77">
        <w:t xml:space="preserve"> </w:t>
      </w:r>
      <w:r>
        <w:t xml:space="preserve">compensation and </w:t>
      </w:r>
      <w:r w:rsidR="00CF17A4">
        <w:t>shareholding</w:t>
      </w:r>
      <w:r>
        <w:t xml:space="preserve">. </w:t>
      </w:r>
      <w:r w:rsidR="00CF17A4">
        <w:t>Below, w</w:t>
      </w:r>
      <w:r w:rsidR="00EB65DF" w:rsidRPr="00A01A77">
        <w:t xml:space="preserve">e </w:t>
      </w:r>
      <w:r w:rsidR="00CF17A4">
        <w:t>explain our prediction</w:t>
      </w:r>
      <w:r w:rsidR="00401983">
        <w:t xml:space="preserve">s </w:t>
      </w:r>
      <w:r w:rsidR="00DD136A">
        <w:t xml:space="preserve">regarding </w:t>
      </w:r>
      <w:r w:rsidR="00401983">
        <w:t>how the</w:t>
      </w:r>
      <w:r w:rsidR="00925597">
        <w:t>se powerful group</w:t>
      </w:r>
      <w:r w:rsidR="00401983">
        <w:t xml:space="preserve"> </w:t>
      </w:r>
      <w:r w:rsidR="00494AD9">
        <w:t xml:space="preserve">interests </w:t>
      </w:r>
      <w:r w:rsidR="001A2193">
        <w:t xml:space="preserve">shaped </w:t>
      </w:r>
      <w:r w:rsidR="00401983">
        <w:t xml:space="preserve">bank </w:t>
      </w:r>
      <w:r w:rsidR="00494AD9">
        <w:t>derivatives</w:t>
      </w:r>
      <w:r w:rsidR="00401983">
        <w:t xml:space="preserve"> activity. </w:t>
      </w:r>
    </w:p>
    <w:p w14:paraId="737C1AEF" w14:textId="77777777" w:rsidR="00061B99" w:rsidRPr="007411E4" w:rsidRDefault="00061B99" w:rsidP="00622847">
      <w:pPr>
        <w:spacing w:line="480" w:lineRule="auto"/>
      </w:pPr>
    </w:p>
    <w:p w14:paraId="7A09D8A1" w14:textId="60E3F46F" w:rsidR="004B2409" w:rsidRPr="00080D5F" w:rsidRDefault="00061B99" w:rsidP="00622847">
      <w:pPr>
        <w:spacing w:line="480" w:lineRule="auto"/>
        <w:rPr>
          <w:b/>
        </w:rPr>
      </w:pPr>
      <w:r w:rsidRPr="00080D5F">
        <w:rPr>
          <w:b/>
        </w:rPr>
        <w:t xml:space="preserve">CEOs, </w:t>
      </w:r>
      <w:r w:rsidR="000D7E67" w:rsidRPr="00080D5F">
        <w:rPr>
          <w:b/>
        </w:rPr>
        <w:t xml:space="preserve">Fund Managers, </w:t>
      </w:r>
      <w:r w:rsidRPr="00080D5F">
        <w:rPr>
          <w:b/>
        </w:rPr>
        <w:t xml:space="preserve">and Derivatives </w:t>
      </w:r>
    </w:p>
    <w:p w14:paraId="7FF6A86D" w14:textId="0F477847" w:rsidR="004F4140" w:rsidRDefault="006612FF" w:rsidP="00622847">
      <w:pPr>
        <w:spacing w:line="480" w:lineRule="auto"/>
      </w:pPr>
      <w:r w:rsidRPr="007411E4">
        <w:tab/>
      </w:r>
      <w:r w:rsidR="00404CA0" w:rsidRPr="007411E4">
        <w:t xml:space="preserve">The new derivatives won attention not merely </w:t>
      </w:r>
      <w:r w:rsidR="007D170F">
        <w:t xml:space="preserve">because they facilitated quick shifts in </w:t>
      </w:r>
      <w:r w:rsidR="00404CA0" w:rsidRPr="007411E4">
        <w:t xml:space="preserve">exposure to investments, but </w:t>
      </w:r>
      <w:r w:rsidR="007D170F">
        <w:t xml:space="preserve">because they could boost profits. </w:t>
      </w:r>
      <w:r w:rsidR="007411E4">
        <w:t>D</w:t>
      </w:r>
      <w:r w:rsidR="00A3228C" w:rsidRPr="007411E4">
        <w:t xml:space="preserve">erivatives </w:t>
      </w:r>
      <w:r w:rsidR="006B47B1">
        <w:t xml:space="preserve">were </w:t>
      </w:r>
      <w:r w:rsidR="00CA23E0">
        <w:t xml:space="preserve">also </w:t>
      </w:r>
      <w:r w:rsidR="002615C6" w:rsidRPr="007411E4">
        <w:t>known t</w:t>
      </w:r>
      <w:r w:rsidR="00434324" w:rsidRPr="007411E4">
        <w:t>o</w:t>
      </w:r>
      <w:r w:rsidR="002615C6" w:rsidRPr="007411E4">
        <w:t xml:space="preserve"> </w:t>
      </w:r>
      <w:r w:rsidR="0079474A" w:rsidRPr="007411E4">
        <w:t xml:space="preserve">facilitate </w:t>
      </w:r>
      <w:r w:rsidR="00A3228C" w:rsidRPr="007411E4">
        <w:t>large speculative plays</w:t>
      </w:r>
      <w:r w:rsidR="00CA0D29" w:rsidRPr="00C96D48">
        <w:t xml:space="preserve"> </w:t>
      </w:r>
      <w:r w:rsidR="00C96D48" w:rsidRPr="00C96D48">
        <w:t xml:space="preserve">by </w:t>
      </w:r>
      <w:r w:rsidR="00CA0D29" w:rsidRPr="00C96D48">
        <w:t xml:space="preserve">allowing investors to leverage small amounts of capital. Banks could gain exposure to upside (and downside) risk without a lot of cash, thereby multiplying potential profits (and losses).  </w:t>
      </w:r>
      <w:r w:rsidR="00793212" w:rsidRPr="00C95FD9">
        <w:t xml:space="preserve"> </w:t>
      </w:r>
    </w:p>
    <w:p w14:paraId="2EA437BD" w14:textId="5CBA9CBD" w:rsidR="00793212" w:rsidRPr="006C2194" w:rsidRDefault="00457992" w:rsidP="00622847">
      <w:pPr>
        <w:tabs>
          <w:tab w:val="left" w:pos="7290"/>
        </w:tabs>
        <w:spacing w:line="480" w:lineRule="auto"/>
        <w:ind w:firstLine="720"/>
      </w:pPr>
      <w:r w:rsidRPr="00C95FD9">
        <w:t>Headlines throughout the 1990s and 2000s illustrated</w:t>
      </w:r>
      <w:r w:rsidR="00F45670" w:rsidRPr="00C95FD9">
        <w:t xml:space="preserve"> the promise of</w:t>
      </w:r>
      <w:r w:rsidR="00E65C34">
        <w:t xml:space="preserve"> </w:t>
      </w:r>
      <w:r w:rsidR="004F4140">
        <w:t xml:space="preserve">the </w:t>
      </w:r>
      <w:r w:rsidR="006D5312" w:rsidRPr="00ED2E63">
        <w:t>new derivatives</w:t>
      </w:r>
      <w:r w:rsidR="00802100">
        <w:t xml:space="preserve">, but </w:t>
      </w:r>
      <w:r w:rsidR="004015E3">
        <w:t>t</w:t>
      </w:r>
      <w:r w:rsidRPr="007411E4">
        <w:t xml:space="preserve">he </w:t>
      </w:r>
      <w:r w:rsidR="00802100">
        <w:t xml:space="preserve">high-profile </w:t>
      </w:r>
      <w:r w:rsidRPr="007411E4">
        <w:t>collapse</w:t>
      </w:r>
      <w:r w:rsidR="00802100">
        <w:t>s</w:t>
      </w:r>
      <w:r w:rsidRPr="007411E4">
        <w:t xml:space="preserve"> of Long-Term Capital Management and Barings Bank </w:t>
      </w:r>
      <w:r w:rsidR="00802100">
        <w:t xml:space="preserve">also </w:t>
      </w:r>
      <w:r w:rsidR="004015E3">
        <w:lastRenderedPageBreak/>
        <w:t xml:space="preserve">underscored </w:t>
      </w:r>
      <w:r w:rsidRPr="007411E4">
        <w:t>to the risks these instruments</w:t>
      </w:r>
      <w:r w:rsidR="00290BDC">
        <w:t xml:space="preserve"> </w:t>
      </w:r>
      <w:r w:rsidR="00290BDC" w:rsidRPr="005D5F56">
        <w:t>carried</w:t>
      </w:r>
      <w:r w:rsidR="00921D8A" w:rsidRPr="005D5F56">
        <w:t xml:space="preserve"> (</w:t>
      </w:r>
      <w:r w:rsidR="00AB3DEB" w:rsidRPr="005D5F56">
        <w:t>Barboza and Gerth 1998</w:t>
      </w:r>
      <w:r w:rsidR="009F2BA9" w:rsidRPr="005D5F56">
        <w:t>; Stevenson 1995</w:t>
      </w:r>
      <w:r w:rsidR="00921D8A" w:rsidRPr="005D5F56">
        <w:t>)</w:t>
      </w:r>
      <w:r w:rsidR="004F4140" w:rsidRPr="005D5F56">
        <w:t>.</w:t>
      </w:r>
      <w:r w:rsidR="00A32B64">
        <w:t xml:space="preserve"> </w:t>
      </w:r>
      <w:r w:rsidRPr="007411E4">
        <w:t xml:space="preserve">CEOs </w:t>
      </w:r>
      <w:r w:rsidR="00A32B64">
        <w:t xml:space="preserve">were wary of embracing complex </w:t>
      </w:r>
      <w:r w:rsidR="004A5243">
        <w:t>tools</w:t>
      </w:r>
      <w:r w:rsidR="00A32B64">
        <w:t xml:space="preserve"> they did not fully understand, lest they find</w:t>
      </w:r>
      <w:r w:rsidRPr="007411E4">
        <w:t xml:space="preserve"> themselves in the position of American Express CEO Kenneth Chenault, who was forced to admit that he “did not fully comprehend the risk” of his firm’s exposure to collateralized debt obligations</w:t>
      </w:r>
      <w:r w:rsidR="00DE4C33">
        <w:t xml:space="preserve"> that</w:t>
      </w:r>
      <w:r w:rsidRPr="007411E4">
        <w:t xml:space="preserve"> </w:t>
      </w:r>
      <w:r w:rsidR="00FD2A5A">
        <w:t xml:space="preserve">cost AmEx </w:t>
      </w:r>
      <w:r w:rsidRPr="007411E4">
        <w:t xml:space="preserve">$800 </w:t>
      </w:r>
      <w:r w:rsidR="000922D7">
        <w:t xml:space="preserve">million </w:t>
      </w:r>
      <w:r w:rsidRPr="007411E4">
        <w:t>in 2001 (Norris 2001</w:t>
      </w:r>
      <w:r w:rsidRPr="00156DAD">
        <w:t>).</w:t>
      </w:r>
    </w:p>
    <w:p w14:paraId="377BF6A8" w14:textId="6E409ACE" w:rsidR="00D13705" w:rsidRPr="00E34507" w:rsidRDefault="00404CA0" w:rsidP="00622847">
      <w:pPr>
        <w:spacing w:line="480" w:lineRule="auto"/>
        <w:rPr>
          <w:highlight w:val="yellow"/>
        </w:rPr>
      </w:pPr>
      <w:r w:rsidRPr="006C2194">
        <w:tab/>
        <w:t>We predict that CEO and fund</w:t>
      </w:r>
      <w:r w:rsidR="004015E3">
        <w:t>-</w:t>
      </w:r>
      <w:r w:rsidRPr="006C2194">
        <w:t xml:space="preserve">manager support for the new derivatives </w:t>
      </w:r>
      <w:r w:rsidR="00127501" w:rsidRPr="006C2194">
        <w:t>var</w:t>
      </w:r>
      <w:r w:rsidR="00DC4A66" w:rsidRPr="006C2194">
        <w:t>ied</w:t>
      </w:r>
      <w:r w:rsidR="00460657" w:rsidRPr="006C2194">
        <w:t xml:space="preserve"> </w:t>
      </w:r>
      <w:r w:rsidR="00420111" w:rsidRPr="006C2194">
        <w:t xml:space="preserve">with </w:t>
      </w:r>
      <w:r w:rsidR="003539DB" w:rsidRPr="006C2194">
        <w:t xml:space="preserve">their </w:t>
      </w:r>
      <w:r w:rsidR="002F5D60" w:rsidRPr="006C2194">
        <w:t>interest in</w:t>
      </w:r>
      <w:r w:rsidR="00DC4A66" w:rsidRPr="006C2194">
        <w:t xml:space="preserve"> maximizing short-term profit</w:t>
      </w:r>
      <w:r w:rsidR="006C2194" w:rsidRPr="006C2194">
        <w:t>s and their aversion to risk</w:t>
      </w:r>
      <w:r w:rsidR="002F5D60" w:rsidRPr="006C2194">
        <w:t xml:space="preserve">. </w:t>
      </w:r>
      <w:r w:rsidR="00AD53B0">
        <w:t>W</w:t>
      </w:r>
      <w:r w:rsidR="0073696F">
        <w:t>h</w:t>
      </w:r>
      <w:r w:rsidR="00E33E46" w:rsidRPr="00867DE6">
        <w:t xml:space="preserve">en CEOs and </w:t>
      </w:r>
      <w:r w:rsidR="00CE745A" w:rsidRPr="00867DE6">
        <w:t xml:space="preserve">institutional investors </w:t>
      </w:r>
      <w:r w:rsidR="00E33E46" w:rsidRPr="00867DE6">
        <w:t>ha</w:t>
      </w:r>
      <w:r w:rsidR="004052FF">
        <w:t>d</w:t>
      </w:r>
      <w:r w:rsidR="00E33E46" w:rsidRPr="00867DE6">
        <w:t xml:space="preserve"> more </w:t>
      </w:r>
      <w:r w:rsidR="00E709CD">
        <w:t xml:space="preserve">to </w:t>
      </w:r>
      <w:r w:rsidR="00E33E46" w:rsidRPr="00867DE6">
        <w:t>l</w:t>
      </w:r>
      <w:r w:rsidR="00E33E46" w:rsidRPr="0064304E">
        <w:t>ose from</w:t>
      </w:r>
      <w:r w:rsidR="00DB7277" w:rsidRPr="0064304E">
        <w:t xml:space="preserve"> risk-taking</w:t>
      </w:r>
      <w:r w:rsidR="00DA439A">
        <w:t>,</w:t>
      </w:r>
      <w:r w:rsidR="004C01A7">
        <w:t xml:space="preserve"> </w:t>
      </w:r>
      <w:r w:rsidR="00AD53B0">
        <w:t>we predict</w:t>
      </w:r>
      <w:r w:rsidR="006C2194">
        <w:t>, they put the brakes on</w:t>
      </w:r>
      <w:r w:rsidR="004015E3">
        <w:t xml:space="preserve"> exposure to</w:t>
      </w:r>
      <w:r w:rsidR="006C2194">
        <w:t xml:space="preserve"> </w:t>
      </w:r>
      <w:r w:rsidR="00FE4233">
        <w:t>new</w:t>
      </w:r>
      <w:r w:rsidR="004015E3">
        <w:t xml:space="preserve"> derivatives. </w:t>
      </w:r>
      <w:r w:rsidR="006C2194">
        <w:t>But when they had much to gain and little to lose</w:t>
      </w:r>
      <w:r w:rsidR="00E709CD">
        <w:t xml:space="preserve">, </w:t>
      </w:r>
      <w:r w:rsidR="00457992">
        <w:t xml:space="preserve">we expect that they </w:t>
      </w:r>
      <w:r w:rsidR="001D7BE6">
        <w:t xml:space="preserve">promoted </w:t>
      </w:r>
      <w:r w:rsidR="00083805">
        <w:t>exposure.</w:t>
      </w:r>
    </w:p>
    <w:p w14:paraId="6D147E9A" w14:textId="77777777" w:rsidR="006430AC" w:rsidRDefault="006430AC" w:rsidP="00622847">
      <w:pPr>
        <w:spacing w:line="480" w:lineRule="auto"/>
      </w:pPr>
    </w:p>
    <w:p w14:paraId="35056F6A" w14:textId="24253419" w:rsidR="003F03BA" w:rsidRDefault="00015771" w:rsidP="00622847">
      <w:pPr>
        <w:spacing w:line="480" w:lineRule="auto"/>
        <w:rPr>
          <w:b/>
        </w:rPr>
      </w:pPr>
      <w:r w:rsidRPr="00080D5F">
        <w:rPr>
          <w:b/>
        </w:rPr>
        <w:t xml:space="preserve">Equity Holding </w:t>
      </w:r>
      <w:r w:rsidR="005A5A8C" w:rsidRPr="00080D5F">
        <w:rPr>
          <w:b/>
        </w:rPr>
        <w:t>Makes CEOs and Fund Managers Wary</w:t>
      </w:r>
    </w:p>
    <w:p w14:paraId="462C8CB4" w14:textId="424C5A87" w:rsidR="00850090" w:rsidRPr="00FC32D9" w:rsidRDefault="009A52B5" w:rsidP="00FC32D9">
      <w:pPr>
        <w:tabs>
          <w:tab w:val="left" w:pos="7920"/>
        </w:tabs>
        <w:spacing w:line="480" w:lineRule="auto"/>
        <w:ind w:firstLine="720"/>
      </w:pPr>
      <w:r>
        <w:t>When</w:t>
      </w:r>
      <w:r w:rsidR="00163CEC" w:rsidRPr="00DB4AA9">
        <w:t xml:space="preserve"> CEOs </w:t>
      </w:r>
      <w:r w:rsidR="00B065CF" w:rsidRPr="00DB4AA9">
        <w:t xml:space="preserve">and fund managers </w:t>
      </w:r>
      <w:r w:rsidR="00163CEC" w:rsidRPr="00DB4AA9">
        <w:t xml:space="preserve">hold </w:t>
      </w:r>
      <w:r>
        <w:t xml:space="preserve">large illiquid stakes in banks, we expect, they will resist </w:t>
      </w:r>
      <w:r w:rsidR="004015E3">
        <w:t>exposure to</w:t>
      </w:r>
      <w:r w:rsidR="00FE4233">
        <w:t xml:space="preserve"> </w:t>
      </w:r>
      <w:r>
        <w:t xml:space="preserve">new derivatives. </w:t>
      </w:r>
      <w:r w:rsidR="0009690E">
        <w:t>CEO equity-</w:t>
      </w:r>
      <w:r w:rsidR="00612A78" w:rsidRPr="00DB4AA9">
        <w:t xml:space="preserve">holding is typically </w:t>
      </w:r>
      <w:r w:rsidR="002868CC">
        <w:t xml:space="preserve">locked in through long-term incentive plans </w:t>
      </w:r>
      <w:r w:rsidR="004015E3">
        <w:t>that require continued</w:t>
      </w:r>
      <w:r w:rsidR="002868CC">
        <w:t xml:space="preserve"> shareholding. </w:t>
      </w:r>
      <w:r w:rsidR="00612A78" w:rsidRPr="002F2EA0">
        <w:t xml:space="preserve">Proponents of </w:t>
      </w:r>
      <w:r w:rsidR="002868CC">
        <w:t xml:space="preserve">those </w:t>
      </w:r>
      <w:r w:rsidR="00612A78" w:rsidRPr="002F2EA0">
        <w:t xml:space="preserve">plans </w:t>
      </w:r>
      <w:r w:rsidR="002868CC">
        <w:t>argue that they prevent myopic short-termism</w:t>
      </w:r>
      <w:r w:rsidR="005A5A8C">
        <w:t xml:space="preserve"> by CEOs hoping to maximize performance pay</w:t>
      </w:r>
      <w:r w:rsidR="002868CC">
        <w:t>; the</w:t>
      </w:r>
      <w:r w:rsidR="00612A78" w:rsidRPr="002F2EA0">
        <w:t xml:space="preserve"> downside </w:t>
      </w:r>
      <w:r w:rsidR="002868CC">
        <w:t>exposure</w:t>
      </w:r>
      <w:r w:rsidR="002868CC" w:rsidRPr="002F2EA0">
        <w:t xml:space="preserve"> </w:t>
      </w:r>
      <w:r w:rsidR="00612A78" w:rsidRPr="002F2EA0">
        <w:t xml:space="preserve">“motivates managers to look beyond next quarter’s results” </w:t>
      </w:r>
      <w:r w:rsidR="002868CC">
        <w:t xml:space="preserve">and moderate risk </w:t>
      </w:r>
      <w:r w:rsidR="00612A78" w:rsidRPr="002F2EA0">
        <w:t xml:space="preserve">(Murphy 1986, p. 125). </w:t>
      </w:r>
      <w:r w:rsidR="002868CC">
        <w:t xml:space="preserve">Moreover, markets pay close attention to CEO trades, making </w:t>
      </w:r>
      <w:r w:rsidR="005A5A8C">
        <w:t xml:space="preserve">even </w:t>
      </w:r>
      <w:r w:rsidR="002868CC">
        <w:t xml:space="preserve">executives </w:t>
      </w:r>
      <w:r w:rsidR="005A5A8C">
        <w:t xml:space="preserve">whose equity is not locked in </w:t>
      </w:r>
      <w:r w:rsidR="00612A78" w:rsidRPr="00B43FE1">
        <w:t xml:space="preserve">reluctant to </w:t>
      </w:r>
      <w:r w:rsidR="002868CC" w:rsidRPr="00B43FE1">
        <w:t xml:space="preserve">dump </w:t>
      </w:r>
      <w:r w:rsidR="000A60E5" w:rsidRPr="00B43FE1">
        <w:t>stock</w:t>
      </w:r>
      <w:r w:rsidR="00612A78" w:rsidRPr="00B43FE1">
        <w:t xml:space="preserve"> for fear of alarming investors. </w:t>
      </w:r>
      <w:r w:rsidR="002868CC" w:rsidRPr="00B43FE1">
        <w:t xml:space="preserve">Thus </w:t>
      </w:r>
      <w:r w:rsidR="005A5A8C">
        <w:t xml:space="preserve">as </w:t>
      </w:r>
      <w:r w:rsidR="002868CC" w:rsidRPr="00B43FE1">
        <w:t>CEO</w:t>
      </w:r>
      <w:r w:rsidR="005A5A8C">
        <w:t xml:space="preserve"> equity rises, they should </w:t>
      </w:r>
      <w:r w:rsidR="002868CC" w:rsidRPr="00B43FE1">
        <w:t xml:space="preserve">resist </w:t>
      </w:r>
      <w:r w:rsidR="004015E3">
        <w:t xml:space="preserve">bank </w:t>
      </w:r>
      <w:r w:rsidR="00FE4233" w:rsidRPr="00B43FE1">
        <w:t xml:space="preserve">exposure </w:t>
      </w:r>
      <w:r w:rsidR="00FE4233" w:rsidRPr="005D5F56">
        <w:t xml:space="preserve">to </w:t>
      </w:r>
      <w:r w:rsidR="005A5A8C" w:rsidRPr="005D5F56">
        <w:t xml:space="preserve">the </w:t>
      </w:r>
      <w:r w:rsidR="00F06867" w:rsidRPr="005D5F56">
        <w:t>risk associated with</w:t>
      </w:r>
      <w:r w:rsidR="00F06867">
        <w:t xml:space="preserve"> </w:t>
      </w:r>
      <w:r w:rsidR="002868CC" w:rsidRPr="00B43FE1">
        <w:t xml:space="preserve">new derivatives. </w:t>
      </w:r>
      <w:r w:rsidR="002868CC" w:rsidRPr="00AC56F6">
        <w:t xml:space="preserve">They should be less likely to directly boost </w:t>
      </w:r>
      <w:r w:rsidR="001C13C1" w:rsidRPr="00AC56F6">
        <w:t xml:space="preserve">new derivatives, and </w:t>
      </w:r>
      <w:r w:rsidR="0089510D" w:rsidRPr="00AC56F6">
        <w:t xml:space="preserve">more </w:t>
      </w:r>
      <w:r w:rsidR="002868CC" w:rsidRPr="00AC56F6">
        <w:t xml:space="preserve">likely to restrain </w:t>
      </w:r>
      <w:r w:rsidR="003B1583" w:rsidRPr="00AC56F6">
        <w:t xml:space="preserve">the </w:t>
      </w:r>
      <w:r w:rsidR="002868CC" w:rsidRPr="00AC56F6">
        <w:t>CRO</w:t>
      </w:r>
      <w:r w:rsidR="003B1583" w:rsidRPr="00AC56F6">
        <w:t>’s</w:t>
      </w:r>
      <w:r w:rsidR="002868CC" w:rsidRPr="00AC56F6">
        <w:t xml:space="preserve"> </w:t>
      </w:r>
      <w:r w:rsidR="001C13C1" w:rsidRPr="00AC56F6">
        <w:t>enthusiasm</w:t>
      </w:r>
      <w:r w:rsidR="003B1583" w:rsidRPr="00AC56F6">
        <w:t xml:space="preserve"> for them</w:t>
      </w:r>
      <w:r w:rsidR="002868CC" w:rsidRPr="00AC56F6">
        <w:t>.</w:t>
      </w:r>
      <w:r w:rsidR="002868CC">
        <w:t xml:space="preserve">  </w:t>
      </w:r>
    </w:p>
    <w:p w14:paraId="47F9ED56" w14:textId="07703E44" w:rsidR="006430AC" w:rsidRDefault="006430AC" w:rsidP="00FC32D9">
      <w:pPr>
        <w:rPr>
          <w:i/>
        </w:rPr>
      </w:pPr>
      <w:r>
        <w:rPr>
          <w:i/>
        </w:rPr>
        <w:t>Hypothesis 2</w:t>
      </w:r>
      <w:r w:rsidRPr="002F2EA0">
        <w:rPr>
          <w:i/>
        </w:rPr>
        <w:t xml:space="preserve">: As CEO </w:t>
      </w:r>
      <w:r>
        <w:rPr>
          <w:i/>
        </w:rPr>
        <w:t xml:space="preserve">shareholding </w:t>
      </w:r>
      <w:r w:rsidRPr="002F2EA0">
        <w:rPr>
          <w:i/>
        </w:rPr>
        <w:t xml:space="preserve">increases, banks will </w:t>
      </w:r>
      <w:r>
        <w:rPr>
          <w:i/>
        </w:rPr>
        <w:t xml:space="preserve">reduce </w:t>
      </w:r>
      <w:r w:rsidR="000D4C6C">
        <w:rPr>
          <w:i/>
        </w:rPr>
        <w:t xml:space="preserve">their </w:t>
      </w:r>
      <w:r w:rsidR="009D168D">
        <w:rPr>
          <w:i/>
        </w:rPr>
        <w:t xml:space="preserve">exposure to </w:t>
      </w:r>
      <w:r w:rsidR="000D4C6C">
        <w:rPr>
          <w:i/>
        </w:rPr>
        <w:t>new</w:t>
      </w:r>
      <w:r w:rsidRPr="002F2EA0">
        <w:rPr>
          <w:i/>
        </w:rPr>
        <w:t xml:space="preserve"> derivatives</w:t>
      </w:r>
      <w:r w:rsidR="001C13C1">
        <w:rPr>
          <w:i/>
        </w:rPr>
        <w:t>.</w:t>
      </w:r>
    </w:p>
    <w:p w14:paraId="5A12CE83" w14:textId="77777777" w:rsidR="006430AC" w:rsidRDefault="006430AC" w:rsidP="00FC32D9">
      <w:pPr>
        <w:rPr>
          <w:i/>
        </w:rPr>
      </w:pPr>
    </w:p>
    <w:p w14:paraId="1E89625D" w14:textId="170DF690" w:rsidR="006430AC" w:rsidRDefault="006430AC" w:rsidP="00FC32D9">
      <w:pPr>
        <w:rPr>
          <w:i/>
        </w:rPr>
      </w:pPr>
      <w:r>
        <w:rPr>
          <w:i/>
        </w:rPr>
        <w:t xml:space="preserve">Hypothesis 3: The CRO’s positive effect on </w:t>
      </w:r>
      <w:r w:rsidR="00F06867">
        <w:rPr>
          <w:i/>
        </w:rPr>
        <w:t xml:space="preserve">exposure to </w:t>
      </w:r>
      <w:r w:rsidR="000D4C6C">
        <w:rPr>
          <w:i/>
        </w:rPr>
        <w:t xml:space="preserve">new </w:t>
      </w:r>
      <w:r>
        <w:rPr>
          <w:i/>
        </w:rPr>
        <w:t xml:space="preserve">derivatives will decline </w:t>
      </w:r>
      <w:r w:rsidR="00B41A9A">
        <w:rPr>
          <w:i/>
        </w:rPr>
        <w:t xml:space="preserve">as </w:t>
      </w:r>
      <w:r>
        <w:rPr>
          <w:i/>
        </w:rPr>
        <w:t>CEO shareholding</w:t>
      </w:r>
      <w:r w:rsidR="00B41A9A">
        <w:rPr>
          <w:i/>
        </w:rPr>
        <w:t xml:space="preserve"> rises.</w:t>
      </w:r>
    </w:p>
    <w:p w14:paraId="4649C432" w14:textId="77777777" w:rsidR="006430AC" w:rsidRDefault="006430AC" w:rsidP="00622847">
      <w:pPr>
        <w:spacing w:line="480" w:lineRule="auto"/>
        <w:rPr>
          <w:b/>
        </w:rPr>
      </w:pPr>
    </w:p>
    <w:p w14:paraId="5E9934D0" w14:textId="6EF9D560" w:rsidR="00BB0AF4" w:rsidRPr="00F35826" w:rsidRDefault="0089510D" w:rsidP="00F35826">
      <w:pPr>
        <w:spacing w:line="480" w:lineRule="auto"/>
        <w:ind w:firstLine="720"/>
      </w:pPr>
      <w:r>
        <w:t>Large i</w:t>
      </w:r>
      <w:r w:rsidRPr="00711E66">
        <w:t xml:space="preserve">nstitutional </w:t>
      </w:r>
      <w:r w:rsidR="00BB0AF4" w:rsidRPr="00711E66">
        <w:t xml:space="preserve">investors exert considerable influence over </w:t>
      </w:r>
      <w:r>
        <w:t xml:space="preserve">bank executives </w:t>
      </w:r>
      <w:r w:rsidR="00BB0AF4" w:rsidRPr="00711E66">
        <w:t xml:space="preserve">(Davis, Diekmann and Tinsley 1994; Pfeffer and Salancik 1978). </w:t>
      </w:r>
      <w:r w:rsidR="005A5A8C">
        <w:t xml:space="preserve"> Fund managers with large blocks of stock, moreover, </w:t>
      </w:r>
      <w:r w:rsidR="00492E50">
        <w:t xml:space="preserve">find that their holdings are illiquid because </w:t>
      </w:r>
      <w:r>
        <w:t xml:space="preserve">dumping stock can cause </w:t>
      </w:r>
      <w:r w:rsidR="00F06867">
        <w:t xml:space="preserve">their </w:t>
      </w:r>
      <w:r w:rsidR="009D168D">
        <w:t xml:space="preserve">shares </w:t>
      </w:r>
      <w:r>
        <w:t>to drop in value</w:t>
      </w:r>
      <w:r w:rsidR="00BB0AF4" w:rsidRPr="00711E66">
        <w:t xml:space="preserve"> </w:t>
      </w:r>
      <w:r w:rsidR="00F06867">
        <w:t xml:space="preserve">before they can get out </w:t>
      </w:r>
      <w:r w:rsidR="00BB0AF4" w:rsidRPr="00711E66">
        <w:t xml:space="preserve">(Hambrick and Finkelstein 1995; Tosi and Gomez-Mejia 1989). Lacking an easy exit, </w:t>
      </w:r>
      <w:r w:rsidR="00045863">
        <w:t xml:space="preserve">blockholding </w:t>
      </w:r>
      <w:r w:rsidR="00BB0AF4" w:rsidRPr="00711E66">
        <w:t xml:space="preserve">fund managers have </w:t>
      </w:r>
      <w:r w:rsidR="00492E50">
        <w:t xml:space="preserve">sought to </w:t>
      </w:r>
      <w:r w:rsidR="00BB0AF4" w:rsidRPr="00711E66">
        <w:t xml:space="preserve">shape firm strategy (Useem 1996). </w:t>
      </w:r>
      <w:r w:rsidR="00492E50">
        <w:t>B</w:t>
      </w:r>
      <w:r>
        <w:t xml:space="preserve">lockholding institutions </w:t>
      </w:r>
      <w:r w:rsidR="00492E50">
        <w:t xml:space="preserve">(with more than 5% of shares) </w:t>
      </w:r>
      <w:r>
        <w:t xml:space="preserve">should </w:t>
      </w:r>
      <w:r w:rsidR="00BB0AF4" w:rsidRPr="00711E66">
        <w:t xml:space="preserve">be less </w:t>
      </w:r>
      <w:r w:rsidR="00BB0AF4" w:rsidRPr="00760EF9">
        <w:t xml:space="preserve">likely </w:t>
      </w:r>
      <w:r w:rsidR="009D168D">
        <w:t>to champion</w:t>
      </w:r>
      <w:r w:rsidR="009D168D" w:rsidRPr="005B7BA1">
        <w:t xml:space="preserve"> </w:t>
      </w:r>
      <w:r>
        <w:t xml:space="preserve">new </w:t>
      </w:r>
      <w:r w:rsidR="00AB07F9">
        <w:t>derivatives</w:t>
      </w:r>
      <w:r w:rsidR="00BB0AF4" w:rsidRPr="005B7BA1">
        <w:t xml:space="preserve">, and more likely to restrain </w:t>
      </w:r>
      <w:r w:rsidR="00593CFB">
        <w:t xml:space="preserve">the </w:t>
      </w:r>
      <w:r w:rsidR="00BB0AF4" w:rsidRPr="005B7BA1">
        <w:t>CRO</w:t>
      </w:r>
      <w:r w:rsidR="00BB0AF4" w:rsidRPr="008B3FB3">
        <w:t>.</w:t>
      </w:r>
    </w:p>
    <w:p w14:paraId="4FC624B5" w14:textId="7592ACE1" w:rsidR="00BB0AF4" w:rsidRDefault="006E04A0" w:rsidP="00F35826">
      <w:pPr>
        <w:tabs>
          <w:tab w:val="left" w:pos="180"/>
        </w:tabs>
        <w:rPr>
          <w:i/>
        </w:rPr>
      </w:pPr>
      <w:r>
        <w:rPr>
          <w:i/>
        </w:rPr>
        <w:t>Hypothesis 4</w:t>
      </w:r>
      <w:r w:rsidR="00BB0AF4" w:rsidRPr="002F2EA0">
        <w:rPr>
          <w:i/>
        </w:rPr>
        <w:t>: As</w:t>
      </w:r>
      <w:r w:rsidR="00BB0AF4">
        <w:rPr>
          <w:i/>
        </w:rPr>
        <w:t xml:space="preserve"> institutional blockholding increases</w:t>
      </w:r>
      <w:r w:rsidR="00BB0AF4" w:rsidRPr="002F2EA0">
        <w:rPr>
          <w:i/>
        </w:rPr>
        <w:t>, ba</w:t>
      </w:r>
      <w:r w:rsidR="00BB0AF4">
        <w:rPr>
          <w:i/>
        </w:rPr>
        <w:t xml:space="preserve">nks will reduce </w:t>
      </w:r>
      <w:r w:rsidR="00BB0AF4" w:rsidRPr="002F2EA0">
        <w:rPr>
          <w:i/>
        </w:rPr>
        <w:t xml:space="preserve">their </w:t>
      </w:r>
      <w:r w:rsidR="009D168D">
        <w:rPr>
          <w:i/>
        </w:rPr>
        <w:t xml:space="preserve">exposure to </w:t>
      </w:r>
      <w:r w:rsidR="0089510D">
        <w:rPr>
          <w:i/>
        </w:rPr>
        <w:t xml:space="preserve">new </w:t>
      </w:r>
      <w:r w:rsidR="00BB0AF4" w:rsidRPr="002F2EA0">
        <w:rPr>
          <w:i/>
        </w:rPr>
        <w:t>derivatives</w:t>
      </w:r>
      <w:r w:rsidR="0089510D">
        <w:rPr>
          <w:i/>
        </w:rPr>
        <w:t>.</w:t>
      </w:r>
    </w:p>
    <w:p w14:paraId="7F7B1BAD" w14:textId="77777777" w:rsidR="00BB0AF4" w:rsidRDefault="00BB0AF4" w:rsidP="00F35826">
      <w:pPr>
        <w:rPr>
          <w:i/>
        </w:rPr>
      </w:pPr>
    </w:p>
    <w:p w14:paraId="30E1B994" w14:textId="4D9C44ED" w:rsidR="00BB0AF4" w:rsidRDefault="006E04A0" w:rsidP="00F35826">
      <w:pPr>
        <w:rPr>
          <w:i/>
        </w:rPr>
      </w:pPr>
      <w:r>
        <w:rPr>
          <w:i/>
        </w:rPr>
        <w:t>Hypothesis 5</w:t>
      </w:r>
      <w:r w:rsidR="00BB0AF4">
        <w:rPr>
          <w:i/>
        </w:rPr>
        <w:t xml:space="preserve">: The CRO’s positive effect on </w:t>
      </w:r>
      <w:r w:rsidR="009D168D">
        <w:rPr>
          <w:i/>
        </w:rPr>
        <w:t xml:space="preserve">exposure to </w:t>
      </w:r>
      <w:r w:rsidR="00BB0AF4">
        <w:rPr>
          <w:i/>
        </w:rPr>
        <w:t xml:space="preserve">new derivatives will decrease </w:t>
      </w:r>
      <w:r w:rsidR="009D168D">
        <w:rPr>
          <w:i/>
        </w:rPr>
        <w:t xml:space="preserve">as </w:t>
      </w:r>
      <w:r w:rsidR="00BB0AF4">
        <w:rPr>
          <w:i/>
        </w:rPr>
        <w:t>institutional blockholding</w:t>
      </w:r>
      <w:r w:rsidR="009D168D">
        <w:rPr>
          <w:i/>
        </w:rPr>
        <w:t xml:space="preserve"> rises</w:t>
      </w:r>
      <w:r w:rsidR="00936EC4">
        <w:rPr>
          <w:i/>
        </w:rPr>
        <w:t>.</w:t>
      </w:r>
    </w:p>
    <w:p w14:paraId="4B86A325" w14:textId="77777777" w:rsidR="00BB0AF4" w:rsidRDefault="00BB0AF4" w:rsidP="00622847">
      <w:pPr>
        <w:spacing w:line="480" w:lineRule="auto"/>
        <w:rPr>
          <w:b/>
        </w:rPr>
      </w:pPr>
    </w:p>
    <w:p w14:paraId="58F88303" w14:textId="017BBE2A" w:rsidR="00BB0AF4" w:rsidRPr="007E1C06" w:rsidRDefault="00015771" w:rsidP="00622847">
      <w:pPr>
        <w:spacing w:line="480" w:lineRule="auto"/>
        <w:rPr>
          <w:b/>
        </w:rPr>
      </w:pPr>
      <w:r w:rsidRPr="00080D5F">
        <w:rPr>
          <w:b/>
        </w:rPr>
        <w:t xml:space="preserve">Performance Pay Promotes Risk-Taking </w:t>
      </w:r>
    </w:p>
    <w:p w14:paraId="5326A76A" w14:textId="3EBEE7CE" w:rsidR="00857A7F" w:rsidRPr="00B604DA" w:rsidRDefault="004F06D5" w:rsidP="00B604DA">
      <w:pPr>
        <w:spacing w:line="480" w:lineRule="auto"/>
        <w:ind w:firstLine="720"/>
      </w:pPr>
      <w:r w:rsidRPr="00711E66">
        <w:t>Conversely, we expect that when CEO</w:t>
      </w:r>
      <w:r w:rsidR="00D77C71">
        <w:t xml:space="preserve"> compensation </w:t>
      </w:r>
      <w:r w:rsidR="00492E50">
        <w:t xml:space="preserve">rewards increases in share price, without punishing decreases, </w:t>
      </w:r>
      <w:r w:rsidR="00544BF5">
        <w:t xml:space="preserve">CEOs will </w:t>
      </w:r>
      <w:r w:rsidR="00D77C71">
        <w:t xml:space="preserve">favor </w:t>
      </w:r>
      <w:r w:rsidR="00092AE8" w:rsidRPr="00711E66">
        <w:t xml:space="preserve">strategies </w:t>
      </w:r>
      <w:r w:rsidR="00D77C71">
        <w:t xml:space="preserve">that </w:t>
      </w:r>
      <w:r w:rsidR="00544BF5">
        <w:t>promise big payoffs even when they come with risks</w:t>
      </w:r>
      <w:r w:rsidR="00D77C71">
        <w:t xml:space="preserve">. </w:t>
      </w:r>
      <w:r w:rsidR="003F2341">
        <w:t>S</w:t>
      </w:r>
      <w:r w:rsidR="00544BF5">
        <w:t xml:space="preserve">cheduled bonuses reward </w:t>
      </w:r>
      <w:r w:rsidR="001F0645" w:rsidRPr="002F2EA0">
        <w:t>executives for increasing share price</w:t>
      </w:r>
      <w:r w:rsidR="00544BF5">
        <w:t xml:space="preserve"> but do not punish them when share price drops – thus they encourage </w:t>
      </w:r>
      <w:r w:rsidR="001F0645" w:rsidRPr="00E3374C">
        <w:t>risk-</w:t>
      </w:r>
      <w:r w:rsidR="00544BF5">
        <w:t>taking</w:t>
      </w:r>
      <w:r w:rsidR="00544BF5" w:rsidRPr="00E3374C">
        <w:t xml:space="preserve"> </w:t>
      </w:r>
      <w:r w:rsidR="001F0645" w:rsidRPr="00E3374C">
        <w:t xml:space="preserve">(Burns and Kedia 2006; Sanders and Hambrick </w:t>
      </w:r>
      <w:r w:rsidR="001F0645" w:rsidRPr="0064304E">
        <w:t>2007; Zhang et al. 2008</w:t>
      </w:r>
      <w:r w:rsidR="009B4CBC">
        <w:t>; Dobbin and Jung 2010</w:t>
      </w:r>
      <w:r w:rsidR="001F0645" w:rsidRPr="0064304E">
        <w:t xml:space="preserve">). </w:t>
      </w:r>
      <w:r w:rsidR="00132A51" w:rsidRPr="00B97E87">
        <w:t xml:space="preserve">We </w:t>
      </w:r>
      <w:r w:rsidR="006B7C31" w:rsidRPr="00B97E87">
        <w:t>expect</w:t>
      </w:r>
      <w:r w:rsidR="00330950" w:rsidRPr="00B97E87">
        <w:t xml:space="preserve"> </w:t>
      </w:r>
      <w:r w:rsidR="00E732D3" w:rsidRPr="00B97E87">
        <w:t xml:space="preserve">that </w:t>
      </w:r>
      <w:r w:rsidR="00544BF5">
        <w:t xml:space="preserve">compensation packages weighted toward performance pay will boost CEO enthusiasm for </w:t>
      </w:r>
      <w:r w:rsidR="00E732D3">
        <w:t xml:space="preserve">the </w:t>
      </w:r>
      <w:r w:rsidR="00492E50">
        <w:t xml:space="preserve">new </w:t>
      </w:r>
      <w:r w:rsidR="00643CF7">
        <w:t>derivatives</w:t>
      </w:r>
      <w:r w:rsidR="000313CE">
        <w:t xml:space="preserve">. </w:t>
      </w:r>
    </w:p>
    <w:p w14:paraId="2B59F070" w14:textId="2000A0CB" w:rsidR="006430AC" w:rsidRDefault="006E04A0" w:rsidP="00B604DA">
      <w:pPr>
        <w:rPr>
          <w:i/>
        </w:rPr>
      </w:pPr>
      <w:r>
        <w:rPr>
          <w:i/>
        </w:rPr>
        <w:t>Hypothesis 6</w:t>
      </w:r>
      <w:r w:rsidR="006430AC" w:rsidRPr="002F2EA0">
        <w:rPr>
          <w:i/>
        </w:rPr>
        <w:t>: As CEO performance pay increases, banks will increase their holdings of derivatives</w:t>
      </w:r>
      <w:r w:rsidR="004C69FA">
        <w:rPr>
          <w:i/>
        </w:rPr>
        <w:t>.</w:t>
      </w:r>
    </w:p>
    <w:p w14:paraId="3469D2AD" w14:textId="77777777" w:rsidR="006430AC" w:rsidRDefault="006430AC" w:rsidP="00B604DA">
      <w:pPr>
        <w:rPr>
          <w:i/>
        </w:rPr>
      </w:pPr>
    </w:p>
    <w:p w14:paraId="5AC41674" w14:textId="0A6D341B" w:rsidR="006430AC" w:rsidRDefault="006E04A0" w:rsidP="00B604DA">
      <w:pPr>
        <w:rPr>
          <w:i/>
        </w:rPr>
      </w:pPr>
      <w:r>
        <w:rPr>
          <w:i/>
        </w:rPr>
        <w:lastRenderedPageBreak/>
        <w:t>Hypothesis 7</w:t>
      </w:r>
      <w:r w:rsidR="006430AC">
        <w:rPr>
          <w:i/>
        </w:rPr>
        <w:t xml:space="preserve">: The CRO’s positive effect on holdings of </w:t>
      </w:r>
      <w:r w:rsidR="000D4C6C">
        <w:rPr>
          <w:i/>
        </w:rPr>
        <w:t xml:space="preserve">new </w:t>
      </w:r>
      <w:r w:rsidR="006430AC">
        <w:rPr>
          <w:i/>
        </w:rPr>
        <w:t>derivatives will increase with the level of CEO performance pay</w:t>
      </w:r>
      <w:r w:rsidR="004C69FA">
        <w:rPr>
          <w:i/>
        </w:rPr>
        <w:t>.</w:t>
      </w:r>
    </w:p>
    <w:p w14:paraId="11AD2DE9" w14:textId="77777777" w:rsidR="00BC0A98" w:rsidRDefault="00BC0A98" w:rsidP="00622847">
      <w:pPr>
        <w:pStyle w:val="NoSpacing"/>
        <w:spacing w:line="480" w:lineRule="auto"/>
        <w:rPr>
          <w:b/>
        </w:rPr>
      </w:pPr>
    </w:p>
    <w:p w14:paraId="2E0E2A10" w14:textId="3CCFADF1" w:rsidR="00FE024E" w:rsidRPr="00ED15A6" w:rsidRDefault="006430AC" w:rsidP="00622847">
      <w:pPr>
        <w:pStyle w:val="NoSpacing"/>
        <w:spacing w:line="480" w:lineRule="auto"/>
        <w:rPr>
          <w:b/>
        </w:rPr>
      </w:pPr>
      <w:r w:rsidRPr="00ED15A6">
        <w:rPr>
          <w:b/>
        </w:rPr>
        <w:t>DATA AND METHODS</w:t>
      </w:r>
    </w:p>
    <w:p w14:paraId="0D0B7A6C" w14:textId="77777777" w:rsidR="000E7740" w:rsidRPr="00426A1B" w:rsidRDefault="000E7740" w:rsidP="00622847">
      <w:pPr>
        <w:spacing w:line="480" w:lineRule="auto"/>
        <w:ind w:firstLine="720"/>
      </w:pPr>
      <w:r w:rsidRPr="00426A1B">
        <w:t xml:space="preserve">We present several sets of models exploring: (a) the role of legal and regulatory pressures in promoting the creation of CRO positions, (b) the role of the CRO in promoting bank reliance on six types of derivatives; and (c) the role of CEO and fund manager interests in blocking or facilitating the CRO’s promotion of </w:t>
      </w:r>
      <w:r>
        <w:t xml:space="preserve">new </w:t>
      </w:r>
      <w:r w:rsidRPr="00426A1B">
        <w:t xml:space="preserve">derivatives.  </w:t>
      </w:r>
    </w:p>
    <w:p w14:paraId="0C6444C0" w14:textId="77777777" w:rsidR="000E7740" w:rsidRDefault="000E7740" w:rsidP="00622847">
      <w:pPr>
        <w:spacing w:line="480" w:lineRule="auto"/>
        <w:rPr>
          <w:b/>
          <w:bCs/>
        </w:rPr>
      </w:pPr>
    </w:p>
    <w:p w14:paraId="1C12D260" w14:textId="0650C3CE" w:rsidR="000E7740" w:rsidRPr="00B604DA" w:rsidRDefault="000E7740" w:rsidP="00B604DA">
      <w:pPr>
        <w:spacing w:line="480" w:lineRule="auto"/>
        <w:rPr>
          <w:b/>
          <w:bCs/>
        </w:rPr>
      </w:pPr>
      <w:r w:rsidRPr="00150C26">
        <w:rPr>
          <w:b/>
          <w:bCs/>
        </w:rPr>
        <w:t>Sample and Data Collection</w:t>
      </w:r>
    </w:p>
    <w:p w14:paraId="191D7EA0" w14:textId="0B6DB902" w:rsidR="000E7740" w:rsidRPr="00870F6B" w:rsidRDefault="000E7740" w:rsidP="00622847">
      <w:pPr>
        <w:spacing w:line="480" w:lineRule="auto"/>
        <w:ind w:firstLine="720"/>
        <w:rPr>
          <w:rFonts w:ascii="Times" w:eastAsia="Times New Roman" w:hAnsi="Times"/>
          <w:sz w:val="20"/>
          <w:szCs w:val="20"/>
        </w:rPr>
      </w:pPr>
      <w:r w:rsidRPr="00870F6B">
        <w:rPr>
          <w:bCs/>
        </w:rPr>
        <w:t xml:space="preserve">We </w:t>
      </w:r>
      <w:r>
        <w:rPr>
          <w:bCs/>
        </w:rPr>
        <w:t xml:space="preserve">examine the derivatives </w:t>
      </w:r>
      <w:r w:rsidRPr="00870F6B">
        <w:rPr>
          <w:bCs/>
        </w:rPr>
        <w:t xml:space="preserve">activities of large </w:t>
      </w:r>
      <w:r>
        <w:rPr>
          <w:bCs/>
        </w:rPr>
        <w:t xml:space="preserve">U.S. </w:t>
      </w:r>
      <w:r w:rsidRPr="00870F6B">
        <w:rPr>
          <w:bCs/>
        </w:rPr>
        <w:t xml:space="preserve">banks, </w:t>
      </w:r>
      <w:r>
        <w:rPr>
          <w:bCs/>
        </w:rPr>
        <w:t xml:space="preserve">as smaller banks rarely used derivatives </w:t>
      </w:r>
      <w:r>
        <w:rPr>
          <w:rFonts w:ascii="Times" w:eastAsia="Times New Roman" w:hAnsi="Times"/>
        </w:rPr>
        <w:t>(Booth, Smith, and Stolz 1984; Koppenhaver 1990; Kim and Koppenhaver</w:t>
      </w:r>
      <w:r w:rsidRPr="00870F6B">
        <w:rPr>
          <w:rFonts w:ascii="Times" w:eastAsia="Times New Roman" w:hAnsi="Times"/>
        </w:rPr>
        <w:t xml:space="preserve"> 1993; Gunther and Siem</w:t>
      </w:r>
      <w:r>
        <w:rPr>
          <w:rFonts w:ascii="Times" w:eastAsia="Times New Roman" w:hAnsi="Times"/>
        </w:rPr>
        <w:t>s 1996;</w:t>
      </w:r>
      <w:r w:rsidRPr="00870F6B">
        <w:rPr>
          <w:rFonts w:ascii="Times" w:eastAsia="Times New Roman" w:hAnsi="Times"/>
        </w:rPr>
        <w:t xml:space="preserve"> Carter and Sinkey 1998).</w:t>
      </w:r>
      <w:r>
        <w:rPr>
          <w:rFonts w:ascii="Times" w:eastAsia="Times New Roman" w:hAnsi="Times"/>
          <w:sz w:val="20"/>
          <w:szCs w:val="20"/>
        </w:rPr>
        <w:t xml:space="preserve"> </w:t>
      </w:r>
      <w:r w:rsidRPr="00426A1B">
        <w:rPr>
          <w:bCs/>
        </w:rPr>
        <w:t xml:space="preserve">We begin with all 163 commercial banks </w:t>
      </w:r>
      <w:r>
        <w:rPr>
          <w:bCs/>
        </w:rPr>
        <w:t xml:space="preserve">that ever appeared </w:t>
      </w:r>
      <w:r w:rsidRPr="00426A1B">
        <w:rPr>
          <w:bCs/>
        </w:rPr>
        <w:t xml:space="preserve">on Standard and Poor’s 1500 index </w:t>
      </w:r>
      <w:r>
        <w:rPr>
          <w:bCs/>
        </w:rPr>
        <w:t xml:space="preserve">between </w:t>
      </w:r>
      <w:r w:rsidRPr="00426A1B">
        <w:rPr>
          <w:bCs/>
        </w:rPr>
        <w:t xml:space="preserve">1995 </w:t>
      </w:r>
      <w:r>
        <w:rPr>
          <w:bCs/>
        </w:rPr>
        <w:t xml:space="preserve">and </w:t>
      </w:r>
      <w:r w:rsidRPr="00426A1B">
        <w:rPr>
          <w:bCs/>
        </w:rPr>
        <w:t xml:space="preserve">2010, excluding </w:t>
      </w:r>
      <w:r>
        <w:rPr>
          <w:bCs/>
        </w:rPr>
        <w:t xml:space="preserve">6 </w:t>
      </w:r>
      <w:r w:rsidR="0035179C">
        <w:rPr>
          <w:bCs/>
        </w:rPr>
        <w:t xml:space="preserve">banks that </w:t>
      </w:r>
      <w:r>
        <w:rPr>
          <w:bCs/>
        </w:rPr>
        <w:t xml:space="preserve">lack </w:t>
      </w:r>
      <w:r w:rsidRPr="00426A1B">
        <w:rPr>
          <w:bCs/>
        </w:rPr>
        <w:t xml:space="preserve">data on derivatives holdings. Derivatives data come from the Bank Regulatory database, which contains commercial bank filings for the Report of Condition and Income (“Call Report”) submitted to the Federal Reserve. The database includes information on derivatives transactions from 1995. Non-depository institutions are not required to file </w:t>
      </w:r>
      <w:proofErr w:type="gramStart"/>
      <w:r w:rsidRPr="00426A1B">
        <w:rPr>
          <w:bCs/>
        </w:rPr>
        <w:t>call</w:t>
      </w:r>
      <w:proofErr w:type="gramEnd"/>
      <w:r w:rsidRPr="00426A1B">
        <w:rPr>
          <w:bCs/>
        </w:rPr>
        <w:t xml:space="preserve"> reports and are excluded from the sample. After </w:t>
      </w:r>
      <w:r>
        <w:rPr>
          <w:bCs/>
        </w:rPr>
        <w:t xml:space="preserve">imputing </w:t>
      </w:r>
      <w:r w:rsidRPr="00426A1B">
        <w:rPr>
          <w:bCs/>
        </w:rPr>
        <w:t>missing values</w:t>
      </w:r>
      <w:r>
        <w:rPr>
          <w:bCs/>
        </w:rPr>
        <w:t xml:space="preserve"> for control variables</w:t>
      </w:r>
      <w:r w:rsidRPr="00426A1B">
        <w:rPr>
          <w:bCs/>
        </w:rPr>
        <w:t>, we have data on 1</w:t>
      </w:r>
      <w:r>
        <w:rPr>
          <w:bCs/>
        </w:rPr>
        <w:t>304</w:t>
      </w:r>
      <w:r w:rsidRPr="00426A1B">
        <w:rPr>
          <w:bCs/>
        </w:rPr>
        <w:t xml:space="preserve"> bank-years. </w:t>
      </w:r>
    </w:p>
    <w:p w14:paraId="1034CFC0" w14:textId="77777777" w:rsidR="00003B63" w:rsidRDefault="00003B63" w:rsidP="00622847">
      <w:pPr>
        <w:spacing w:line="480" w:lineRule="auto"/>
        <w:rPr>
          <w:b/>
          <w:bCs/>
        </w:rPr>
      </w:pPr>
    </w:p>
    <w:p w14:paraId="4E1C4894" w14:textId="6B1FD198" w:rsidR="00003B63" w:rsidRPr="00622847" w:rsidRDefault="00003B63" w:rsidP="00622847">
      <w:pPr>
        <w:spacing w:line="480" w:lineRule="auto"/>
        <w:rPr>
          <w:b/>
          <w:bCs/>
        </w:rPr>
      </w:pPr>
      <w:r w:rsidRPr="00150C26">
        <w:rPr>
          <w:b/>
          <w:bCs/>
        </w:rPr>
        <w:t>Dependent Variables</w:t>
      </w:r>
    </w:p>
    <w:p w14:paraId="2E1924E4" w14:textId="51D34846" w:rsidR="00003B63" w:rsidRPr="00D13D6D" w:rsidRDefault="00003B63" w:rsidP="00622847">
      <w:pPr>
        <w:spacing w:line="480" w:lineRule="auto"/>
        <w:ind w:firstLine="720"/>
        <w:rPr>
          <w:bCs/>
        </w:rPr>
      </w:pPr>
      <w:r w:rsidRPr="00F13B6F">
        <w:rPr>
          <w:bCs/>
          <w:i/>
        </w:rPr>
        <w:t>CRO adoption</w:t>
      </w:r>
      <w:r w:rsidRPr="00426A1B">
        <w:rPr>
          <w:bCs/>
        </w:rPr>
        <w:t xml:space="preserve">. Data on the presence of CROs are hand-coded from Standard &amp; Poor’s </w:t>
      </w:r>
      <w:r w:rsidRPr="00426A1B">
        <w:rPr>
          <w:bCs/>
          <w:i/>
        </w:rPr>
        <w:t xml:space="preserve">Register of Corporations, Directors, and Executives. </w:t>
      </w:r>
      <w:r w:rsidRPr="00426A1B">
        <w:rPr>
          <w:bCs/>
        </w:rPr>
        <w:t xml:space="preserve">We compare consecutive volumes of </w:t>
      </w:r>
      <w:r w:rsidRPr="00426A1B">
        <w:rPr>
          <w:bCs/>
        </w:rPr>
        <w:lastRenderedPageBreak/>
        <w:t>Standard &amp; Poor’s Register to identify the first year in which a bank appointed a CRO, and use this information to construct a binary variable (1=the year the bank adopted a CRO; 0=years beforehand). Banks are removed from the risk set following the creation of a CRO position.</w:t>
      </w:r>
    </w:p>
    <w:p w14:paraId="15A9117A" w14:textId="3AC32971" w:rsidR="00003B63" w:rsidRPr="00C66877" w:rsidRDefault="00003B63" w:rsidP="00622847">
      <w:pPr>
        <w:spacing w:line="480" w:lineRule="auto"/>
        <w:ind w:firstLine="720"/>
        <w:rPr>
          <w:bCs/>
        </w:rPr>
      </w:pPr>
      <w:r w:rsidRPr="00F13B6F">
        <w:rPr>
          <w:bCs/>
          <w:i/>
        </w:rPr>
        <w:t>Derivatives activity</w:t>
      </w:r>
      <w:r w:rsidRPr="00426A1B">
        <w:rPr>
          <w:b/>
          <w:bCs/>
        </w:rPr>
        <w:t xml:space="preserve">. </w:t>
      </w:r>
      <w:r>
        <w:rPr>
          <w:bCs/>
        </w:rPr>
        <w:t>We examine bank h</w:t>
      </w:r>
      <w:r w:rsidRPr="00426A1B">
        <w:rPr>
          <w:bCs/>
        </w:rPr>
        <w:t xml:space="preserve">oldings of six types of derivatives. Table 1 describes each derivative type: futures, forwards, exchange-traded options, over-the-counter options, swaps, and credit derivatives. We use the notional amount held in each market to measure the extent of derivatives activity. The notional amount reflects the value of the </w:t>
      </w:r>
      <w:r w:rsidRPr="00C66877">
        <w:rPr>
          <w:bCs/>
          <w:i/>
        </w:rPr>
        <w:t>underlying assets</w:t>
      </w:r>
      <w:r w:rsidRPr="00C66877">
        <w:rPr>
          <w:bCs/>
        </w:rPr>
        <w:t xml:space="preserve"> against which claims are traded in derivatives markets, not the amount a</w:t>
      </w:r>
      <w:r w:rsidRPr="00080D5F">
        <w:rPr>
          <w:bCs/>
        </w:rPr>
        <w:t xml:space="preserve"> </w:t>
      </w:r>
      <w:r w:rsidRPr="00C66877">
        <w:rPr>
          <w:bCs/>
        </w:rPr>
        <w:t>bank has at risk</w:t>
      </w:r>
      <w:r w:rsidRPr="00080D5F">
        <w:rPr>
          <w:bCs/>
        </w:rPr>
        <w:t xml:space="preserve"> </w:t>
      </w:r>
      <w:r w:rsidRPr="00C66877">
        <w:rPr>
          <w:bCs/>
        </w:rPr>
        <w:t>(see Stulz 2004: 178-179).</w:t>
      </w:r>
      <w:r w:rsidRPr="00C66877">
        <w:rPr>
          <w:bCs/>
          <w:vertAlign w:val="superscript"/>
        </w:rPr>
        <w:endnoteReference w:id="2"/>
      </w:r>
      <w:r w:rsidRPr="00C66877">
        <w:rPr>
          <w:bCs/>
        </w:rPr>
        <w:t xml:space="preserve">  </w:t>
      </w:r>
      <w:r w:rsidRPr="00080D5F">
        <w:rPr>
          <w:bCs/>
        </w:rPr>
        <w:t xml:space="preserve">However, </w:t>
      </w:r>
      <w:r w:rsidRPr="00C66877">
        <w:rPr>
          <w:bCs/>
        </w:rPr>
        <w:t xml:space="preserve">the notional value </w:t>
      </w:r>
      <w:r w:rsidRPr="00080D5F">
        <w:rPr>
          <w:bCs/>
        </w:rPr>
        <w:t xml:space="preserve">amount held </w:t>
      </w:r>
      <w:r w:rsidRPr="00C66877">
        <w:rPr>
          <w:bCs/>
        </w:rPr>
        <w:t xml:space="preserve">is </w:t>
      </w:r>
      <w:r w:rsidR="00B61F8E">
        <w:rPr>
          <w:bCs/>
        </w:rPr>
        <w:t>the conventional</w:t>
      </w:r>
      <w:r w:rsidRPr="00C66877">
        <w:rPr>
          <w:bCs/>
        </w:rPr>
        <w:t xml:space="preserve">, </w:t>
      </w:r>
      <w:r w:rsidRPr="00C66877">
        <w:rPr>
          <w:bCs/>
          <w:i/>
        </w:rPr>
        <w:t xml:space="preserve">relative </w:t>
      </w:r>
      <w:r w:rsidRPr="00C66877">
        <w:rPr>
          <w:bCs/>
        </w:rPr>
        <w:t xml:space="preserve">indicator of </w:t>
      </w:r>
      <w:r w:rsidRPr="00080D5F">
        <w:rPr>
          <w:bCs/>
        </w:rPr>
        <w:t xml:space="preserve">the extent of </w:t>
      </w:r>
      <w:r w:rsidRPr="00C66877">
        <w:rPr>
          <w:bCs/>
        </w:rPr>
        <w:t xml:space="preserve">bank activity in </w:t>
      </w:r>
      <w:r w:rsidRPr="00080D5F">
        <w:rPr>
          <w:bCs/>
        </w:rPr>
        <w:t xml:space="preserve">each </w:t>
      </w:r>
      <w:r w:rsidRPr="00C66877">
        <w:rPr>
          <w:bCs/>
        </w:rPr>
        <w:t>derivative markets</w:t>
      </w:r>
      <w:r w:rsidRPr="00080D5F">
        <w:rPr>
          <w:bCs/>
        </w:rPr>
        <w:t xml:space="preserve">, </w:t>
      </w:r>
      <w:r w:rsidRPr="00C66877">
        <w:rPr>
          <w:bCs/>
        </w:rPr>
        <w:t xml:space="preserve">used in accounting and finance research (cf. Knopf, Nam, and Thornton 2002; Adkins, Carter, and Simpson 2007). All notional amounts are log-transformed to address skew. </w:t>
      </w:r>
      <w:r w:rsidR="00B61F8E" w:rsidRPr="00080D5F">
        <w:rPr>
          <w:bCs/>
        </w:rPr>
        <w:t>M</w:t>
      </w:r>
      <w:r w:rsidRPr="00C66877">
        <w:rPr>
          <w:bCs/>
        </w:rPr>
        <w:t>odels for credit derivatives</w:t>
      </w:r>
      <w:r w:rsidRPr="00080D5F">
        <w:rPr>
          <w:bCs/>
        </w:rPr>
        <w:t xml:space="preserve"> </w:t>
      </w:r>
      <w:r w:rsidRPr="00C66877">
        <w:rPr>
          <w:bCs/>
        </w:rPr>
        <w:t>cover 1997-2010.</w:t>
      </w:r>
    </w:p>
    <w:p w14:paraId="5E238850" w14:textId="77777777" w:rsidR="00003B63" w:rsidRDefault="00003B63" w:rsidP="00622847">
      <w:pPr>
        <w:spacing w:line="480" w:lineRule="auto"/>
      </w:pPr>
    </w:p>
    <w:p w14:paraId="43B68E04" w14:textId="4C1CE55E" w:rsidR="00003B63" w:rsidRDefault="00003B63" w:rsidP="00622847">
      <w:pPr>
        <w:spacing w:line="480" w:lineRule="auto"/>
        <w:rPr>
          <w:b/>
          <w:bCs/>
        </w:rPr>
      </w:pPr>
      <w:r w:rsidRPr="00150C26">
        <w:rPr>
          <w:b/>
          <w:bCs/>
        </w:rPr>
        <w:t>Independent Variables</w:t>
      </w:r>
    </w:p>
    <w:p w14:paraId="4D730DCA" w14:textId="61F8FBEF" w:rsidR="00003B63" w:rsidRPr="00574C2D" w:rsidRDefault="00003B63" w:rsidP="00622847">
      <w:pPr>
        <w:spacing w:line="480" w:lineRule="auto"/>
        <w:ind w:firstLine="720"/>
      </w:pPr>
      <w:r>
        <w:rPr>
          <w:bCs/>
        </w:rPr>
        <w:t xml:space="preserve">In CRO adoption models, we use a binary variable to represent regulatory reforms, coded as 1 after Sarbanes-Oxley passed (2002). We capture </w:t>
      </w:r>
      <w:r w:rsidR="0062088E">
        <w:rPr>
          <w:bCs/>
        </w:rPr>
        <w:t xml:space="preserve">a bank’s </w:t>
      </w:r>
      <w:r>
        <w:rPr>
          <w:bCs/>
        </w:rPr>
        <w:t xml:space="preserve">regulatory sensitivity with a count of non-CRO </w:t>
      </w:r>
      <w:r w:rsidR="0062088E">
        <w:rPr>
          <w:bCs/>
        </w:rPr>
        <w:t xml:space="preserve">corporate compliance officers. </w:t>
      </w:r>
      <w:r>
        <w:rPr>
          <w:bCs/>
        </w:rPr>
        <w:t xml:space="preserve">For derivatives models, we include the presence of a </w:t>
      </w:r>
      <w:r w:rsidRPr="00000015">
        <w:rPr>
          <w:bCs/>
        </w:rPr>
        <w:t>CRO, and the interests of CEOs</w:t>
      </w:r>
      <w:r>
        <w:rPr>
          <w:bCs/>
        </w:rPr>
        <w:t xml:space="preserve"> and fund managers</w:t>
      </w:r>
      <w:r w:rsidR="00776C47">
        <w:rPr>
          <w:bCs/>
        </w:rPr>
        <w:t xml:space="preserve">, captured with CEO </w:t>
      </w:r>
      <w:r>
        <w:rPr>
          <w:bCs/>
        </w:rPr>
        <w:t xml:space="preserve">performance pay and shareholding </w:t>
      </w:r>
      <w:r w:rsidR="00311838">
        <w:rPr>
          <w:bCs/>
        </w:rPr>
        <w:t xml:space="preserve">and blockholding </w:t>
      </w:r>
      <w:r w:rsidR="00660E1F">
        <w:rPr>
          <w:bCs/>
        </w:rPr>
        <w:t xml:space="preserve">by </w:t>
      </w:r>
      <w:r w:rsidR="00311838">
        <w:rPr>
          <w:bCs/>
        </w:rPr>
        <w:t>institutional investors</w:t>
      </w:r>
      <w:r>
        <w:rPr>
          <w:bCs/>
        </w:rPr>
        <w:t xml:space="preserve"> (those ho</w:t>
      </w:r>
      <w:r w:rsidR="0062088E">
        <w:rPr>
          <w:bCs/>
        </w:rPr>
        <w:t xml:space="preserve">lding more than 5% of shares). </w:t>
      </w:r>
      <w:r>
        <w:rPr>
          <w:bCs/>
        </w:rPr>
        <w:t>We also interact CRO presence with the</w:t>
      </w:r>
      <w:r w:rsidR="007050EE">
        <w:rPr>
          <w:bCs/>
        </w:rPr>
        <w:t>se</w:t>
      </w:r>
      <w:r>
        <w:rPr>
          <w:bCs/>
        </w:rPr>
        <w:t xml:space="preserve"> three </w:t>
      </w:r>
      <w:r w:rsidR="007050EE">
        <w:rPr>
          <w:bCs/>
        </w:rPr>
        <w:t>CEO- and fund manager-</w:t>
      </w:r>
      <w:r>
        <w:rPr>
          <w:bCs/>
        </w:rPr>
        <w:t xml:space="preserve">interest variables. </w:t>
      </w:r>
    </w:p>
    <w:p w14:paraId="5627D2C6" w14:textId="77777777" w:rsidR="00A954D8" w:rsidRDefault="00A954D8" w:rsidP="00622847">
      <w:pPr>
        <w:spacing w:line="480" w:lineRule="auto"/>
        <w:rPr>
          <w:b/>
          <w:bCs/>
        </w:rPr>
      </w:pPr>
    </w:p>
    <w:p w14:paraId="773A95B1" w14:textId="77777777" w:rsidR="00A954D8" w:rsidRPr="00150C26" w:rsidRDefault="00A954D8" w:rsidP="00622847">
      <w:pPr>
        <w:spacing w:line="480" w:lineRule="auto"/>
        <w:rPr>
          <w:b/>
          <w:bCs/>
        </w:rPr>
      </w:pPr>
      <w:r w:rsidRPr="00150C26">
        <w:rPr>
          <w:b/>
          <w:bCs/>
        </w:rPr>
        <w:t xml:space="preserve">Controls </w:t>
      </w:r>
    </w:p>
    <w:p w14:paraId="5C8866D1" w14:textId="1AFF4D09" w:rsidR="00A954D8" w:rsidRPr="00870F6B" w:rsidRDefault="00A954D8" w:rsidP="00622847">
      <w:pPr>
        <w:pStyle w:val="ListParagraph"/>
        <w:spacing w:line="480" w:lineRule="auto"/>
        <w:ind w:left="0" w:firstLine="720"/>
      </w:pPr>
      <w:r w:rsidRPr="00870F6B">
        <w:rPr>
          <w:bCs/>
        </w:rPr>
        <w:lastRenderedPageBreak/>
        <w:t xml:space="preserve">We control for bank and market characteristics </w:t>
      </w:r>
      <w:r w:rsidRPr="00150C26">
        <w:rPr>
          <w:bCs/>
        </w:rPr>
        <w:t xml:space="preserve">known </w:t>
      </w:r>
      <w:r w:rsidRPr="00870F6B">
        <w:rPr>
          <w:bCs/>
        </w:rPr>
        <w:t xml:space="preserve">to influence </w:t>
      </w:r>
      <w:r>
        <w:rPr>
          <w:bCs/>
        </w:rPr>
        <w:t xml:space="preserve">creation of organizational positions or </w:t>
      </w:r>
      <w:r w:rsidRPr="00870F6B">
        <w:rPr>
          <w:bCs/>
        </w:rPr>
        <w:t xml:space="preserve">derivatives activity. </w:t>
      </w:r>
      <w:r w:rsidR="00776C47">
        <w:rPr>
          <w:bCs/>
        </w:rPr>
        <w:t>Appendix A provides u</w:t>
      </w:r>
      <w:r w:rsidRPr="00870F6B">
        <w:rPr>
          <w:bCs/>
        </w:rPr>
        <w:t>nivariate statistics and data sources</w:t>
      </w:r>
      <w:r w:rsidR="00776C47">
        <w:rPr>
          <w:bCs/>
        </w:rPr>
        <w:t xml:space="preserve">.  Appendix B provides a </w:t>
      </w:r>
      <w:r>
        <w:rPr>
          <w:bCs/>
        </w:rPr>
        <w:t>correlation matrix</w:t>
      </w:r>
      <w:r w:rsidRPr="00870F6B">
        <w:rPr>
          <w:bCs/>
        </w:rPr>
        <w:t xml:space="preserve">. </w:t>
      </w:r>
      <w:r>
        <w:rPr>
          <w:bCs/>
        </w:rPr>
        <w:t xml:space="preserve"> </w:t>
      </w:r>
      <w:r w:rsidRPr="00426A1B">
        <w:rPr>
          <w:bCs/>
        </w:rPr>
        <w:t xml:space="preserve">We use multiple </w:t>
      </w:r>
      <w:proofErr w:type="gramStart"/>
      <w:r w:rsidRPr="00426A1B">
        <w:rPr>
          <w:bCs/>
        </w:rPr>
        <w:t>imputation</w:t>
      </w:r>
      <w:proofErr w:type="gramEnd"/>
      <w:r w:rsidRPr="00426A1B">
        <w:rPr>
          <w:bCs/>
        </w:rPr>
        <w:t xml:space="preserve"> to substitute for missing values for control variables (King et al. 2001). For most variables, missing observations range from 5 to 10 percent. Results are robust to excluding cases with missing data.   </w:t>
      </w:r>
    </w:p>
    <w:p w14:paraId="77DD57F5" w14:textId="53979638" w:rsidR="00A954D8" w:rsidRPr="00870F6B" w:rsidRDefault="00A954D8" w:rsidP="00622847">
      <w:pPr>
        <w:spacing w:line="480" w:lineRule="auto"/>
        <w:ind w:firstLine="720"/>
        <w:rPr>
          <w:bCs/>
        </w:rPr>
      </w:pPr>
      <w:proofErr w:type="gramStart"/>
      <w:r w:rsidRPr="00870F6B">
        <w:rPr>
          <w:bCs/>
          <w:i/>
        </w:rPr>
        <w:t>Size and performance.</w:t>
      </w:r>
      <w:proofErr w:type="gramEnd"/>
      <w:r w:rsidRPr="00870F6B">
        <w:rPr>
          <w:bCs/>
          <w:i/>
        </w:rPr>
        <w:t xml:space="preserve"> </w:t>
      </w:r>
      <w:r w:rsidRPr="00870F6B">
        <w:rPr>
          <w:bCs/>
        </w:rPr>
        <w:t>Large banks were</w:t>
      </w:r>
      <w:r>
        <w:rPr>
          <w:bCs/>
        </w:rPr>
        <w:t xml:space="preserve"> most</w:t>
      </w:r>
      <w:r w:rsidRPr="00870F6B">
        <w:rPr>
          <w:bCs/>
        </w:rPr>
        <w:t xml:space="preserve"> active in derivatives markets (Johnson and Kwak 2010; Minton et al. 2006; Hirtle </w:t>
      </w:r>
      <w:r w:rsidRPr="00681F27">
        <w:rPr>
          <w:bCs/>
        </w:rPr>
        <w:t xml:space="preserve">2009), and </w:t>
      </w:r>
      <w:r>
        <w:rPr>
          <w:bCs/>
        </w:rPr>
        <w:t>large corporations are most likely to appoint compliance officers (Edelman 1990)</w:t>
      </w:r>
      <w:r w:rsidRPr="00681F27">
        <w:rPr>
          <w:bCs/>
        </w:rPr>
        <w:t xml:space="preserve">. </w:t>
      </w:r>
      <w:r>
        <w:rPr>
          <w:bCs/>
        </w:rPr>
        <w:t>We c</w:t>
      </w:r>
      <w:r w:rsidRPr="00870F6B">
        <w:rPr>
          <w:bCs/>
        </w:rPr>
        <w:t>ontrol for bank size</w:t>
      </w:r>
      <w:r>
        <w:rPr>
          <w:bCs/>
        </w:rPr>
        <w:t xml:space="preserve"> with </w:t>
      </w:r>
      <w:r w:rsidRPr="00870F6B">
        <w:rPr>
          <w:bCs/>
        </w:rPr>
        <w:t>log total assets. Bank performance may also affect both the decision to appoint a CRO and a bank’s derivatives holdings. We control for performance</w:t>
      </w:r>
      <w:r>
        <w:rPr>
          <w:bCs/>
        </w:rPr>
        <w:t xml:space="preserve"> using </w:t>
      </w:r>
      <w:r w:rsidRPr="00870F6B">
        <w:rPr>
          <w:bCs/>
        </w:rPr>
        <w:t xml:space="preserve">return on assets (ROA) </w:t>
      </w:r>
      <w:r>
        <w:rPr>
          <w:bCs/>
        </w:rPr>
        <w:t xml:space="preserve">to </w:t>
      </w:r>
      <w:r w:rsidRPr="00870F6B">
        <w:rPr>
          <w:bCs/>
        </w:rPr>
        <w:t>capture</w:t>
      </w:r>
      <w:r>
        <w:rPr>
          <w:bCs/>
        </w:rPr>
        <w:t xml:space="preserve"> profitability, </w:t>
      </w:r>
      <w:r w:rsidRPr="00870F6B">
        <w:rPr>
          <w:bCs/>
        </w:rPr>
        <w:t xml:space="preserve">cumulative stock returns (percent change in share price over 12 months) </w:t>
      </w:r>
      <w:r>
        <w:rPr>
          <w:bCs/>
        </w:rPr>
        <w:t xml:space="preserve">to </w:t>
      </w:r>
      <w:r w:rsidRPr="00870F6B">
        <w:rPr>
          <w:bCs/>
        </w:rPr>
        <w:t xml:space="preserve">capture stock-market performance, and market-to-book ratio </w:t>
      </w:r>
      <w:r>
        <w:rPr>
          <w:bCs/>
        </w:rPr>
        <w:t xml:space="preserve">to </w:t>
      </w:r>
      <w:r w:rsidRPr="00870F6B">
        <w:rPr>
          <w:bCs/>
        </w:rPr>
        <w:t xml:space="preserve">capture market valuation. </w:t>
      </w:r>
    </w:p>
    <w:p w14:paraId="2E918F96" w14:textId="77777777" w:rsidR="00277BC7" w:rsidRPr="002F10DC" w:rsidRDefault="00D375A6" w:rsidP="00622847">
      <w:pPr>
        <w:spacing w:line="480" w:lineRule="auto"/>
        <w:ind w:firstLine="720"/>
        <w:rPr>
          <w:b/>
          <w:bCs/>
        </w:rPr>
      </w:pPr>
      <w:r w:rsidRPr="00870F6B">
        <w:rPr>
          <w:bCs/>
          <w:i/>
        </w:rPr>
        <w:t xml:space="preserve">Bank activities and risk exposure. </w:t>
      </w:r>
      <w:r w:rsidR="008452F1">
        <w:rPr>
          <w:bCs/>
        </w:rPr>
        <w:t xml:space="preserve">Bank </w:t>
      </w:r>
      <w:r w:rsidRPr="00870F6B">
        <w:rPr>
          <w:bCs/>
        </w:rPr>
        <w:t>activities may</w:t>
      </w:r>
      <w:r>
        <w:rPr>
          <w:bCs/>
        </w:rPr>
        <w:t xml:space="preserve"> affect both</w:t>
      </w:r>
      <w:r w:rsidRPr="00870F6B">
        <w:rPr>
          <w:bCs/>
        </w:rPr>
        <w:t xml:space="preserve"> CRO </w:t>
      </w:r>
      <w:r>
        <w:rPr>
          <w:bCs/>
        </w:rPr>
        <w:t xml:space="preserve">appointment </w:t>
      </w:r>
      <w:r w:rsidRPr="00870F6B">
        <w:rPr>
          <w:bCs/>
        </w:rPr>
        <w:t xml:space="preserve">and derivatives holdings. </w:t>
      </w:r>
      <w:r w:rsidR="00277BC7">
        <w:rPr>
          <w:bCs/>
        </w:rPr>
        <w:t>W</w:t>
      </w:r>
      <w:r w:rsidR="00277BC7" w:rsidRPr="00327833">
        <w:rPr>
          <w:bCs/>
        </w:rPr>
        <w:t>e also include a variable indicating the presence of non-CRO risk-management executives, such as a vice-president of risk, to see if lower-level risk managers influenced derivatives holdings.</w:t>
      </w:r>
    </w:p>
    <w:p w14:paraId="621AB525" w14:textId="292F8157" w:rsidR="00D375A6" w:rsidRPr="00870F6B" w:rsidRDefault="00D375A6" w:rsidP="00622847">
      <w:pPr>
        <w:spacing w:line="480" w:lineRule="auto"/>
        <w:ind w:firstLine="720"/>
        <w:rPr>
          <w:bCs/>
        </w:rPr>
      </w:pPr>
      <w:r w:rsidRPr="00870F6B">
        <w:rPr>
          <w:bCs/>
        </w:rPr>
        <w:t>C</w:t>
      </w:r>
      <w:r w:rsidRPr="00870F6B">
        <w:t>ommercial banks that expand into</w:t>
      </w:r>
      <w:r>
        <w:t xml:space="preserve"> new</w:t>
      </w:r>
      <w:r w:rsidRPr="00870F6B">
        <w:t xml:space="preserve"> activities – including investment banking - may be more likely to appoint CRO</w:t>
      </w:r>
      <w:r>
        <w:t>s</w:t>
      </w:r>
      <w:r w:rsidRPr="00870F6B">
        <w:t xml:space="preserve">, and they may also use derivatives differently than </w:t>
      </w:r>
      <w:r>
        <w:t xml:space="preserve">other </w:t>
      </w:r>
      <w:r w:rsidRPr="00870F6B">
        <w:t>banks. The Banking Act of 1933 barred deposit institutions from securities underwriting, insurance, and retail brokerage. This legal boundary began to erode after 1987, when regulators permitted</w:t>
      </w:r>
      <w:r>
        <w:t xml:space="preserve"> particular </w:t>
      </w:r>
      <w:r w:rsidRPr="00870F6B">
        <w:t>bank holding companies (BHCs</w:t>
      </w:r>
      <w:r w:rsidR="008452F1">
        <w:t xml:space="preserve">) </w:t>
      </w:r>
      <w:r w:rsidRPr="00870F6B">
        <w:t>to underwrite certain securities via “Section 20” subsidiar</w:t>
      </w:r>
      <w:r>
        <w:t>ies</w:t>
      </w:r>
      <w:r w:rsidRPr="00000015">
        <w:t xml:space="preserve">. The 1999 Gramm-Leach-Bliley Act allowed BHCs to reorganize as financial holding companies combining traditional banking and other financial activities. </w:t>
      </w:r>
      <w:r w:rsidRPr="00000015">
        <w:rPr>
          <w:bCs/>
        </w:rPr>
        <w:t xml:space="preserve">Traditional </w:t>
      </w:r>
      <w:r w:rsidRPr="00000015">
        <w:rPr>
          <w:bCs/>
        </w:rPr>
        <w:lastRenderedPageBreak/>
        <w:t xml:space="preserve">banking activities (e.g. loans to corporations) generate interest income, while </w:t>
      </w:r>
      <w:r w:rsidR="00000015" w:rsidRPr="00000015">
        <w:rPr>
          <w:bCs/>
        </w:rPr>
        <w:t>non-traditional activities (</w:t>
      </w:r>
      <w:r w:rsidR="008452F1" w:rsidRPr="00000015">
        <w:rPr>
          <w:bCs/>
        </w:rPr>
        <w:t>s</w:t>
      </w:r>
      <w:r w:rsidRPr="00000015">
        <w:rPr>
          <w:bCs/>
        </w:rPr>
        <w:t>ecurities underwriting, ins</w:t>
      </w:r>
      <w:r w:rsidR="008452F1" w:rsidRPr="00000015">
        <w:rPr>
          <w:bCs/>
        </w:rPr>
        <w:t>urance, or retail brokerage</w:t>
      </w:r>
      <w:r w:rsidR="00000015" w:rsidRPr="00000015">
        <w:rPr>
          <w:bCs/>
        </w:rPr>
        <w:t>) typically</w:t>
      </w:r>
      <w:r w:rsidR="008452F1" w:rsidRPr="00000015">
        <w:rPr>
          <w:bCs/>
        </w:rPr>
        <w:t xml:space="preserve"> </w:t>
      </w:r>
      <w:r w:rsidRPr="00000015">
        <w:rPr>
          <w:bCs/>
        </w:rPr>
        <w:t xml:space="preserve">generate non-interest income, </w:t>
      </w:r>
      <w:r w:rsidR="00AA0A50">
        <w:rPr>
          <w:bCs/>
        </w:rPr>
        <w:t xml:space="preserve">including </w:t>
      </w:r>
      <w:r w:rsidRPr="00000015">
        <w:rPr>
          <w:bCs/>
        </w:rPr>
        <w:t xml:space="preserve">service charges </w:t>
      </w:r>
      <w:r w:rsidR="00AA0A50">
        <w:rPr>
          <w:bCs/>
        </w:rPr>
        <w:t xml:space="preserve">and </w:t>
      </w:r>
      <w:r w:rsidRPr="00000015">
        <w:rPr>
          <w:bCs/>
        </w:rPr>
        <w:t>fees (Stiroh 2004).</w:t>
      </w:r>
      <w:r w:rsidR="00000015">
        <w:rPr>
          <w:bCs/>
        </w:rPr>
        <w:t xml:space="preserve"> W</w:t>
      </w:r>
      <w:r w:rsidRPr="00870F6B">
        <w:rPr>
          <w:bCs/>
        </w:rPr>
        <w:t>e use the ratio of net interest income to total income to control for the extent of a bank’s expansion into non-traditional banking activities.</w:t>
      </w:r>
      <w:r w:rsidRPr="00870F6B">
        <w:rPr>
          <w:bCs/>
          <w:vertAlign w:val="superscript"/>
        </w:rPr>
        <w:endnoteReference w:id="3"/>
      </w:r>
    </w:p>
    <w:p w14:paraId="35A43C89" w14:textId="59543927" w:rsidR="00D375A6" w:rsidRPr="00870F6B" w:rsidRDefault="00D375A6" w:rsidP="00622847">
      <w:pPr>
        <w:spacing w:line="480" w:lineRule="auto"/>
        <w:ind w:firstLine="720"/>
        <w:rPr>
          <w:bCs/>
        </w:rPr>
      </w:pPr>
      <w:r w:rsidRPr="00870F6B">
        <w:rPr>
          <w:bCs/>
        </w:rPr>
        <w:t>Derivatives were often used to manage exchange risk and interest rate risk (Brewer et al. 1996; Ahmed et al. 1997; Carter and Sinkey 1998). We use the ratio of pre-tax foreign net income to total sales to control for exposure to exchange risk. Banks</w:t>
      </w:r>
      <w:r>
        <w:rPr>
          <w:bCs/>
        </w:rPr>
        <w:t xml:space="preserve"> relying on</w:t>
      </w:r>
      <w:r w:rsidRPr="00870F6B">
        <w:rPr>
          <w:bCs/>
        </w:rPr>
        <w:t xml:space="preserve"> foreign income</w:t>
      </w:r>
      <w:r>
        <w:rPr>
          <w:bCs/>
        </w:rPr>
        <w:t xml:space="preserve"> face</w:t>
      </w:r>
      <w:r w:rsidRPr="00870F6B">
        <w:rPr>
          <w:bCs/>
        </w:rPr>
        <w:t xml:space="preserve"> exchange risk, and </w:t>
      </w:r>
      <w:r w:rsidRPr="00AD190E">
        <w:rPr>
          <w:bCs/>
        </w:rPr>
        <w:t xml:space="preserve">may </w:t>
      </w:r>
      <w:r w:rsidR="00AD190E" w:rsidRPr="00080D5F">
        <w:rPr>
          <w:bCs/>
        </w:rPr>
        <w:t>use</w:t>
      </w:r>
      <w:r w:rsidR="00AD190E">
        <w:rPr>
          <w:bCs/>
          <w:strike/>
        </w:rPr>
        <w:t xml:space="preserve"> </w:t>
      </w:r>
      <w:r w:rsidRPr="00870F6B">
        <w:rPr>
          <w:bCs/>
        </w:rPr>
        <w:t>derivatives</w:t>
      </w:r>
      <w:r>
        <w:rPr>
          <w:bCs/>
        </w:rPr>
        <w:t xml:space="preserve"> to </w:t>
      </w:r>
      <w:r w:rsidR="00AD190E">
        <w:rPr>
          <w:bCs/>
        </w:rPr>
        <w:t xml:space="preserve">manage exposure to </w:t>
      </w:r>
      <w:r>
        <w:rPr>
          <w:bCs/>
        </w:rPr>
        <w:t>that risk</w:t>
      </w:r>
      <w:r w:rsidRPr="00870F6B">
        <w:rPr>
          <w:bCs/>
        </w:rPr>
        <w:t>. We use two variables to</w:t>
      </w:r>
      <w:r>
        <w:rPr>
          <w:bCs/>
        </w:rPr>
        <w:t xml:space="preserve"> capture</w:t>
      </w:r>
      <w:r w:rsidRPr="00870F6B">
        <w:rPr>
          <w:bCs/>
        </w:rPr>
        <w:t xml:space="preserve"> interest rate risk: (1) interest income </w:t>
      </w:r>
      <w:r>
        <w:rPr>
          <w:bCs/>
        </w:rPr>
        <w:t xml:space="preserve">over </w:t>
      </w:r>
      <w:r w:rsidRPr="00870F6B">
        <w:rPr>
          <w:bCs/>
        </w:rPr>
        <w:t xml:space="preserve">total income and (2) demand deposits </w:t>
      </w:r>
      <w:r>
        <w:rPr>
          <w:bCs/>
        </w:rPr>
        <w:t xml:space="preserve">over </w:t>
      </w:r>
      <w:r w:rsidRPr="00870F6B">
        <w:rPr>
          <w:bCs/>
        </w:rPr>
        <w:t xml:space="preserve">total liabilities. Banks </w:t>
      </w:r>
      <w:r>
        <w:rPr>
          <w:bCs/>
        </w:rPr>
        <w:t xml:space="preserve">dependent on </w:t>
      </w:r>
      <w:r w:rsidRPr="00870F6B">
        <w:rPr>
          <w:bCs/>
        </w:rPr>
        <w:t>interest income, a</w:t>
      </w:r>
      <w:r w:rsidR="008452F1">
        <w:rPr>
          <w:bCs/>
        </w:rPr>
        <w:t xml:space="preserve">nd funding </w:t>
      </w:r>
      <w:r w:rsidR="005B1BF8">
        <w:rPr>
          <w:bCs/>
        </w:rPr>
        <w:t xml:space="preserve">sources </w:t>
      </w:r>
      <w:r w:rsidRPr="00870F6B">
        <w:rPr>
          <w:bCs/>
        </w:rPr>
        <w:t xml:space="preserve">beyond demand deposits (which banks do not pay interest on), </w:t>
      </w:r>
      <w:r>
        <w:rPr>
          <w:bCs/>
        </w:rPr>
        <w:t>may use derivatives to</w:t>
      </w:r>
      <w:r w:rsidR="00D133A7">
        <w:rPr>
          <w:bCs/>
        </w:rPr>
        <w:t xml:space="preserve"> manage exposure to interest rate</w:t>
      </w:r>
      <w:r w:rsidR="00AD190E">
        <w:rPr>
          <w:bCs/>
        </w:rPr>
        <w:t xml:space="preserve"> </w:t>
      </w:r>
      <w:proofErr w:type="gramStart"/>
      <w:r w:rsidR="00AD190E">
        <w:rPr>
          <w:bCs/>
        </w:rPr>
        <w:t>risk</w:t>
      </w:r>
      <w:r>
        <w:rPr>
          <w:bCs/>
        </w:rPr>
        <w:t>.</w:t>
      </w:r>
      <w:proofErr w:type="gramEnd"/>
      <w:r>
        <w:rPr>
          <w:bCs/>
        </w:rPr>
        <w:t xml:space="preserve"> </w:t>
      </w:r>
    </w:p>
    <w:p w14:paraId="78B3236A" w14:textId="40E9E45A" w:rsidR="00D375A6" w:rsidRPr="00870F6B" w:rsidRDefault="00D375A6" w:rsidP="00622847">
      <w:pPr>
        <w:spacing w:line="480" w:lineRule="auto"/>
        <w:ind w:firstLine="720"/>
        <w:rPr>
          <w:bCs/>
        </w:rPr>
      </w:pPr>
      <w:r>
        <w:rPr>
          <w:bCs/>
        </w:rPr>
        <w:t>We control for both systemic risk, common</w:t>
      </w:r>
      <w:r w:rsidRPr="00870F6B">
        <w:rPr>
          <w:bCs/>
        </w:rPr>
        <w:t xml:space="preserve"> to all traded firms, and unsystematic risk, </w:t>
      </w:r>
      <w:r>
        <w:rPr>
          <w:bCs/>
        </w:rPr>
        <w:t xml:space="preserve">specific </w:t>
      </w:r>
      <w:r w:rsidRPr="00870F6B">
        <w:rPr>
          <w:bCs/>
        </w:rPr>
        <w:t xml:space="preserve">to the bank. </w:t>
      </w:r>
      <w:r>
        <w:rPr>
          <w:bCs/>
        </w:rPr>
        <w:t xml:space="preserve">Leverage increases a bank’s risk of insolvency, as does inadequate capital.  For leverage we use the </w:t>
      </w:r>
      <w:r w:rsidRPr="00870F6B">
        <w:rPr>
          <w:bCs/>
        </w:rPr>
        <w:t>ratio of total assets to shareholder equity</w:t>
      </w:r>
      <w:r w:rsidR="005B1BF8">
        <w:rPr>
          <w:bCs/>
        </w:rPr>
        <w:t xml:space="preserve">. </w:t>
      </w:r>
      <w:r>
        <w:rPr>
          <w:bCs/>
        </w:rPr>
        <w:t xml:space="preserve">For capital adequacy, we use </w:t>
      </w:r>
      <w:r w:rsidRPr="00870F6B">
        <w:rPr>
          <w:bCs/>
        </w:rPr>
        <w:t xml:space="preserve">regulatory capital ratio, </w:t>
      </w:r>
      <w:r>
        <w:rPr>
          <w:bCs/>
        </w:rPr>
        <w:t xml:space="preserve">or </w:t>
      </w:r>
      <w:r w:rsidRPr="00870F6B">
        <w:rPr>
          <w:bCs/>
        </w:rPr>
        <w:t>Tier</w:t>
      </w:r>
      <w:r>
        <w:rPr>
          <w:bCs/>
        </w:rPr>
        <w:t>s</w:t>
      </w:r>
      <w:r w:rsidRPr="00870F6B">
        <w:rPr>
          <w:bCs/>
        </w:rPr>
        <w:t xml:space="preserve"> 1</w:t>
      </w:r>
      <w:r>
        <w:rPr>
          <w:bCs/>
        </w:rPr>
        <w:t xml:space="preserve"> and</w:t>
      </w:r>
      <w:r w:rsidRPr="00870F6B">
        <w:rPr>
          <w:bCs/>
        </w:rPr>
        <w:t xml:space="preserve"> 2 regulatory </w:t>
      </w:r>
      <w:proofErr w:type="gramStart"/>
      <w:r w:rsidRPr="00870F6B">
        <w:rPr>
          <w:bCs/>
        </w:rPr>
        <w:t>capital</w:t>
      </w:r>
      <w:proofErr w:type="gramEnd"/>
      <w:r w:rsidRPr="00870F6B">
        <w:rPr>
          <w:bCs/>
        </w:rPr>
        <w:t xml:space="preserve"> </w:t>
      </w:r>
      <w:r>
        <w:rPr>
          <w:bCs/>
        </w:rPr>
        <w:t xml:space="preserve">over </w:t>
      </w:r>
      <w:r w:rsidRPr="00870F6B">
        <w:rPr>
          <w:bCs/>
        </w:rPr>
        <w:t xml:space="preserve">risk-weighted assets. In CRO adoption models, we also control for the bank’s derivatives activity. </w:t>
      </w:r>
    </w:p>
    <w:p w14:paraId="0B629CF0" w14:textId="6A43FD84" w:rsidR="00D375A6" w:rsidRPr="002E135C" w:rsidRDefault="00D375A6" w:rsidP="00622847">
      <w:pPr>
        <w:spacing w:line="480" w:lineRule="auto"/>
        <w:ind w:firstLine="720"/>
        <w:rPr>
          <w:bCs/>
        </w:rPr>
      </w:pPr>
      <w:r w:rsidRPr="00C166CB">
        <w:rPr>
          <w:bCs/>
          <w:i/>
        </w:rPr>
        <w:t xml:space="preserve">Risk appetite. </w:t>
      </w:r>
      <w:r w:rsidRPr="00C166CB">
        <w:rPr>
          <w:rFonts w:eastAsia="Times New Roman"/>
        </w:rPr>
        <w:t xml:space="preserve">CEO and fund manager </w:t>
      </w:r>
      <w:r w:rsidRPr="00C166CB">
        <w:rPr>
          <w:bCs/>
        </w:rPr>
        <w:t xml:space="preserve">interests in boosting, or restraining, risk </w:t>
      </w:r>
      <w:r w:rsidRPr="00533532">
        <w:rPr>
          <w:bCs/>
        </w:rPr>
        <w:t>may also shape the decision to appoint a CRO</w:t>
      </w:r>
      <w:r w:rsidRPr="00C166CB">
        <w:rPr>
          <w:bCs/>
        </w:rPr>
        <w:t xml:space="preserve">. Therefore, we control for the </w:t>
      </w:r>
      <w:r w:rsidR="001D2956" w:rsidRPr="00C166CB">
        <w:rPr>
          <w:bCs/>
        </w:rPr>
        <w:t>economic</w:t>
      </w:r>
      <w:r w:rsidR="001D2956">
        <w:rPr>
          <w:bCs/>
        </w:rPr>
        <w:t xml:space="preserve"> </w:t>
      </w:r>
      <w:r w:rsidRPr="00C66877">
        <w:rPr>
          <w:bCs/>
        </w:rPr>
        <w:t xml:space="preserve">interests of CEOs and fund managers with CEO performance pay, CEO shareholding, and institutional blockholding. A firm’s governance </w:t>
      </w:r>
      <w:r w:rsidRPr="004659EE">
        <w:rPr>
          <w:bCs/>
        </w:rPr>
        <w:t xml:space="preserve">structure </w:t>
      </w:r>
      <w:r w:rsidRPr="00080D5F">
        <w:t>may influence risk appetit</w:t>
      </w:r>
      <w:r w:rsidRPr="00C66877">
        <w:t>e</w:t>
      </w:r>
      <w:r w:rsidRPr="00080D5F">
        <w:t xml:space="preserve">. In the American context of dispersed shareholding (Berle and Means 1932; Roe 1994), independent boards are </w:t>
      </w:r>
      <w:r w:rsidRPr="00080D5F">
        <w:lastRenderedPageBreak/>
        <w:t xml:space="preserve">thought to quell the penchant of executives to use excessive risk to boost their own performance pay (Jensen and Meckling 1976). Both </w:t>
      </w:r>
      <w:r w:rsidRPr="00080D5F">
        <w:rPr>
          <w:bCs/>
        </w:rPr>
        <w:t xml:space="preserve">CRO-adoption and derivatives models control for board independence using outside directors (Gordon 2007). </w:t>
      </w:r>
    </w:p>
    <w:p w14:paraId="612B4760" w14:textId="7DF72BB3" w:rsidR="00D375A6" w:rsidRPr="00924FAC" w:rsidRDefault="00D375A6" w:rsidP="00622847">
      <w:pPr>
        <w:spacing w:line="480" w:lineRule="auto"/>
        <w:ind w:firstLine="720"/>
        <w:rPr>
          <w:rFonts w:ascii="Times" w:eastAsia="Times New Roman" w:hAnsi="Times"/>
          <w:sz w:val="20"/>
          <w:szCs w:val="20"/>
        </w:rPr>
      </w:pPr>
      <w:r>
        <w:rPr>
          <w:bCs/>
        </w:rPr>
        <w:t xml:space="preserve">Other bank characteristics have been tied to risk appetite. </w:t>
      </w:r>
      <w:r w:rsidRPr="002E135C">
        <w:rPr>
          <w:bCs/>
        </w:rPr>
        <w:t>High-value bank charters may</w:t>
      </w:r>
      <w:r>
        <w:rPr>
          <w:bCs/>
        </w:rPr>
        <w:t xml:space="preserve"> dampen</w:t>
      </w:r>
      <w:r w:rsidRPr="002E135C">
        <w:rPr>
          <w:bCs/>
        </w:rPr>
        <w:t xml:space="preserve"> </w:t>
      </w:r>
      <w:r>
        <w:rPr>
          <w:bCs/>
        </w:rPr>
        <w:t xml:space="preserve">executive enthusiasm for risk – </w:t>
      </w:r>
      <w:r w:rsidR="004659EE">
        <w:rPr>
          <w:bCs/>
        </w:rPr>
        <w:t xml:space="preserve">we </w:t>
      </w:r>
      <w:r>
        <w:rPr>
          <w:bCs/>
        </w:rPr>
        <w:t xml:space="preserve">control for </w:t>
      </w:r>
      <w:r w:rsidRPr="002E135C">
        <w:rPr>
          <w:bCs/>
        </w:rPr>
        <w:t xml:space="preserve">charter value </w:t>
      </w:r>
      <w:r w:rsidR="00E36DEB">
        <w:rPr>
          <w:bCs/>
        </w:rPr>
        <w:t xml:space="preserve">(the worth of a bank’s ability to continue operating) </w:t>
      </w:r>
      <w:r w:rsidRPr="002E135C">
        <w:rPr>
          <w:bCs/>
        </w:rPr>
        <w:t xml:space="preserve">using </w:t>
      </w:r>
      <w:r w:rsidRPr="002E135C">
        <w:rPr>
          <w:rFonts w:eastAsia="Times New Roman"/>
        </w:rPr>
        <w:t>market-to-book equity (Keeley 1990; Galloway et al. 1997)</w:t>
      </w:r>
      <w:r>
        <w:rPr>
          <w:rFonts w:eastAsia="Times New Roman"/>
        </w:rPr>
        <w:t>.</w:t>
      </w:r>
      <w:r w:rsidRPr="002E135C">
        <w:rPr>
          <w:rFonts w:eastAsia="Times New Roman"/>
        </w:rPr>
        <w:t xml:space="preserve"> </w:t>
      </w:r>
      <w:r>
        <w:rPr>
          <w:rFonts w:ascii="Times" w:eastAsia="Times New Roman" w:hAnsi="Times"/>
        </w:rPr>
        <w:t xml:space="preserve">Equity capital may discourage risk </w:t>
      </w:r>
      <w:r w:rsidRPr="00A35B51">
        <w:rPr>
          <w:rFonts w:ascii="Times" w:eastAsia="Times New Roman" w:hAnsi="Times"/>
        </w:rPr>
        <w:t>(</w:t>
      </w:r>
      <w:r w:rsidRPr="00A35B51">
        <w:rPr>
          <w:rFonts w:eastAsia="Times New Roman"/>
        </w:rPr>
        <w:t>Furlong and Keeley 1989; Demsetz and Strahan 1997)</w:t>
      </w:r>
      <w:r>
        <w:rPr>
          <w:rFonts w:eastAsia="Times New Roman"/>
        </w:rPr>
        <w:t xml:space="preserve">; we control for </w:t>
      </w:r>
      <w:r w:rsidRPr="00A830C7">
        <w:rPr>
          <w:rFonts w:eastAsia="Times New Roman"/>
        </w:rPr>
        <w:t>shareholder’s equity.</w:t>
      </w:r>
      <w:r w:rsidRPr="00A830C7">
        <w:rPr>
          <w:rFonts w:ascii="Times" w:eastAsia="Times New Roman" w:hAnsi="Times"/>
        </w:rPr>
        <w:t xml:space="preserve"> </w:t>
      </w:r>
      <w:proofErr w:type="gramStart"/>
      <w:r w:rsidRPr="00A830C7">
        <w:rPr>
          <w:rFonts w:ascii="Times" w:eastAsia="Times New Roman" w:hAnsi="Times"/>
        </w:rPr>
        <w:t xml:space="preserve">Banks designated as </w:t>
      </w:r>
      <w:r w:rsidRPr="00A830C7">
        <w:rPr>
          <w:bCs/>
        </w:rPr>
        <w:t xml:space="preserve">too-big-to fail (TBTF) </w:t>
      </w:r>
      <w:r>
        <w:rPr>
          <w:bCs/>
        </w:rPr>
        <w:t xml:space="preserve">may expect bailouts if they crash, and so may ignore risk </w:t>
      </w:r>
      <w:r w:rsidRPr="00A830C7">
        <w:rPr>
          <w:bCs/>
        </w:rPr>
        <w:t>(</w:t>
      </w:r>
      <w:r w:rsidRPr="00A830C7">
        <w:rPr>
          <w:rFonts w:eastAsia="Times New Roman"/>
        </w:rPr>
        <w:t>Afonso et al. 2014)</w:t>
      </w:r>
      <w:r w:rsidRPr="00A830C7">
        <w:rPr>
          <w:bCs/>
        </w:rPr>
        <w:t>.</w:t>
      </w:r>
      <w:proofErr w:type="gramEnd"/>
      <w:r w:rsidRPr="00A830C7">
        <w:rPr>
          <w:bCs/>
        </w:rPr>
        <w:t xml:space="preserve"> </w:t>
      </w:r>
      <w:r>
        <w:rPr>
          <w:bCs/>
        </w:rPr>
        <w:t>The too-big-to-fail regime was established in 1984, after the</w:t>
      </w:r>
      <w:r w:rsidRPr="00A830C7">
        <w:rPr>
          <w:bCs/>
        </w:rPr>
        <w:t xml:space="preserve"> F</w:t>
      </w:r>
      <w:r>
        <w:rPr>
          <w:bCs/>
        </w:rPr>
        <w:t xml:space="preserve">ederal </w:t>
      </w:r>
      <w:r w:rsidRPr="00A830C7">
        <w:rPr>
          <w:bCs/>
        </w:rPr>
        <w:t>D</w:t>
      </w:r>
      <w:r>
        <w:rPr>
          <w:bCs/>
        </w:rPr>
        <w:t xml:space="preserve">eposit </w:t>
      </w:r>
      <w:r w:rsidRPr="00A830C7">
        <w:rPr>
          <w:bCs/>
        </w:rPr>
        <w:t>I</w:t>
      </w:r>
      <w:r>
        <w:rPr>
          <w:bCs/>
        </w:rPr>
        <w:t xml:space="preserve">nsurance </w:t>
      </w:r>
      <w:r w:rsidRPr="00A830C7">
        <w:rPr>
          <w:bCs/>
        </w:rPr>
        <w:t>C</w:t>
      </w:r>
      <w:r>
        <w:rPr>
          <w:bCs/>
        </w:rPr>
        <w:t>orporation</w:t>
      </w:r>
      <w:r w:rsidRPr="00A830C7">
        <w:rPr>
          <w:bCs/>
        </w:rPr>
        <w:t xml:space="preserve"> </w:t>
      </w:r>
      <w:r>
        <w:rPr>
          <w:bCs/>
        </w:rPr>
        <w:t xml:space="preserve">provided an </w:t>
      </w:r>
      <w:r w:rsidRPr="00A830C7">
        <w:rPr>
          <w:bCs/>
        </w:rPr>
        <w:t xml:space="preserve">unlimited guarantee to all creditors of </w:t>
      </w:r>
      <w:r>
        <w:rPr>
          <w:bCs/>
        </w:rPr>
        <w:t xml:space="preserve">the struggling </w:t>
      </w:r>
      <w:r w:rsidRPr="00A830C7">
        <w:rPr>
          <w:bCs/>
        </w:rPr>
        <w:t>Continental Illinois Bank</w:t>
      </w:r>
      <w:r>
        <w:rPr>
          <w:bCs/>
        </w:rPr>
        <w:t>. The</w:t>
      </w:r>
      <w:r>
        <w:rPr>
          <w:bCs/>
          <w:strike/>
        </w:rPr>
        <w:t xml:space="preserve"> </w:t>
      </w:r>
      <w:r>
        <w:rPr>
          <w:bCs/>
        </w:rPr>
        <w:t xml:space="preserve">protection was subsequently extended to the eleven largest U.S. commercial banks, and later to other large banks. </w:t>
      </w:r>
      <w:r w:rsidR="005B1BF8" w:rsidRPr="00533532">
        <w:rPr>
          <w:bCs/>
        </w:rPr>
        <w:t xml:space="preserve">In the robustness check section, we report results of analyses excluding TBTF fail banks, defined as the largest </w:t>
      </w:r>
      <w:r w:rsidR="001D2956" w:rsidRPr="00533532">
        <w:rPr>
          <w:bCs/>
        </w:rPr>
        <w:t xml:space="preserve">20 </w:t>
      </w:r>
      <w:r w:rsidR="005B1BF8" w:rsidRPr="00533532">
        <w:rPr>
          <w:bCs/>
        </w:rPr>
        <w:t>banks in terms of assets in 2004.</w:t>
      </w:r>
      <w:r w:rsidR="005B1BF8" w:rsidRPr="001D4C6E">
        <w:rPr>
          <w:bCs/>
        </w:rPr>
        <w:t xml:space="preserve"> </w:t>
      </w:r>
      <w:r w:rsidR="00E37DF5" w:rsidRPr="001D4C6E">
        <w:rPr>
          <w:bCs/>
        </w:rPr>
        <w:t>We also control for percent female directors, as female board members have been shown to increase corporate monitoring and compliance</w:t>
      </w:r>
      <w:r w:rsidR="00E37DF5">
        <w:rPr>
          <w:bCs/>
        </w:rPr>
        <w:t xml:space="preserve"> (Adams and Ferriera 2009). </w:t>
      </w:r>
    </w:p>
    <w:p w14:paraId="3A90B8A8" w14:textId="65CFB341" w:rsidR="00D375A6" w:rsidRDefault="00D375A6" w:rsidP="00622847">
      <w:pPr>
        <w:pStyle w:val="ListParagraph"/>
        <w:spacing w:line="480" w:lineRule="auto"/>
        <w:ind w:left="0" w:firstLine="720"/>
        <w:rPr>
          <w:bCs/>
        </w:rPr>
      </w:pPr>
      <w:r w:rsidRPr="00870F6B">
        <w:rPr>
          <w:bCs/>
          <w:i/>
        </w:rPr>
        <w:t>Market characteristics.</w:t>
      </w:r>
      <w:r w:rsidRPr="00870F6B">
        <w:rPr>
          <w:bCs/>
        </w:rPr>
        <w:t xml:space="preserve"> </w:t>
      </w:r>
      <w:r w:rsidRPr="00870F6B">
        <w:t xml:space="preserve">The industry popularity of a practice may affect the speed at which firms </w:t>
      </w:r>
      <w:r w:rsidRPr="00277BC7">
        <w:t>take it up</w:t>
      </w:r>
      <w:r w:rsidR="00277BC7" w:rsidRPr="00080D5F">
        <w:t xml:space="preserve">. </w:t>
      </w:r>
      <w:r w:rsidRPr="00277BC7">
        <w:t xml:space="preserve">We control for </w:t>
      </w:r>
      <w:r w:rsidRPr="00277BC7">
        <w:rPr>
          <w:bCs/>
        </w:rPr>
        <w:t xml:space="preserve">CRO prevalence in the CRO adoption models (banks with CROs </w:t>
      </w:r>
      <w:r w:rsidR="00277BC7">
        <w:rPr>
          <w:bCs/>
        </w:rPr>
        <w:t xml:space="preserve">as a proportion of </w:t>
      </w:r>
      <w:r w:rsidRPr="00277BC7">
        <w:rPr>
          <w:bCs/>
        </w:rPr>
        <w:t xml:space="preserve">all banks), and for </w:t>
      </w:r>
      <w:r w:rsidR="003F649C">
        <w:rPr>
          <w:bCs/>
        </w:rPr>
        <w:t xml:space="preserve">the </w:t>
      </w:r>
      <w:r w:rsidRPr="00277BC7">
        <w:rPr>
          <w:bCs/>
        </w:rPr>
        <w:t xml:space="preserve">popularity </w:t>
      </w:r>
      <w:r w:rsidR="003F649C">
        <w:rPr>
          <w:bCs/>
        </w:rPr>
        <w:t xml:space="preserve">of derivatives </w:t>
      </w:r>
      <w:r w:rsidRPr="00277BC7">
        <w:rPr>
          <w:bCs/>
        </w:rPr>
        <w:t>in the derivatives models (</w:t>
      </w:r>
      <w:r w:rsidR="00FC4CA1">
        <w:rPr>
          <w:bCs/>
        </w:rPr>
        <w:t>% of other banks holding each</w:t>
      </w:r>
      <w:r w:rsidR="00703970">
        <w:rPr>
          <w:bCs/>
        </w:rPr>
        <w:t xml:space="preserve"> category of derivative)</w:t>
      </w:r>
      <w:r w:rsidR="00277BC7">
        <w:rPr>
          <w:bCs/>
        </w:rPr>
        <w:t xml:space="preserve">. </w:t>
      </w:r>
      <w:r w:rsidRPr="00277BC7">
        <w:rPr>
          <w:bCs/>
        </w:rPr>
        <w:t>In the derivatives</w:t>
      </w:r>
      <w:r>
        <w:rPr>
          <w:bCs/>
        </w:rPr>
        <w:t xml:space="preserve"> analysis,</w:t>
      </w:r>
      <w:r w:rsidRPr="00426A1B">
        <w:rPr>
          <w:bCs/>
        </w:rPr>
        <w:t xml:space="preserve"> we </w:t>
      </w:r>
      <w:r>
        <w:rPr>
          <w:bCs/>
        </w:rPr>
        <w:t xml:space="preserve">also </w:t>
      </w:r>
      <w:r w:rsidRPr="00426A1B">
        <w:rPr>
          <w:bCs/>
        </w:rPr>
        <w:t>include an annual time</w:t>
      </w:r>
      <w:r w:rsidR="00A77599">
        <w:rPr>
          <w:bCs/>
        </w:rPr>
        <w:t xml:space="preserve"> </w:t>
      </w:r>
      <w:r w:rsidRPr="00426A1B">
        <w:rPr>
          <w:bCs/>
        </w:rPr>
        <w:t xml:space="preserve">trend to capture unmeasured trends as well as a binary variable for the period between 2007 and 2010 to capture </w:t>
      </w:r>
      <w:r>
        <w:rPr>
          <w:bCs/>
        </w:rPr>
        <w:t xml:space="preserve">the recent financial crisis. </w:t>
      </w:r>
    </w:p>
    <w:p w14:paraId="5D08D38E" w14:textId="77777777" w:rsidR="00D375A6" w:rsidRDefault="00D375A6" w:rsidP="00622847">
      <w:pPr>
        <w:spacing w:line="480" w:lineRule="auto"/>
        <w:rPr>
          <w:b/>
          <w:bCs/>
        </w:rPr>
      </w:pPr>
    </w:p>
    <w:p w14:paraId="062EB77A" w14:textId="7D380005" w:rsidR="00D375A6" w:rsidRPr="008323FE" w:rsidRDefault="00D375A6" w:rsidP="00622847">
      <w:pPr>
        <w:spacing w:line="480" w:lineRule="auto"/>
        <w:rPr>
          <w:b/>
          <w:bCs/>
        </w:rPr>
      </w:pPr>
      <w:r w:rsidRPr="00150C26">
        <w:rPr>
          <w:b/>
          <w:bCs/>
        </w:rPr>
        <w:lastRenderedPageBreak/>
        <w:t xml:space="preserve">Estimation </w:t>
      </w:r>
    </w:p>
    <w:p w14:paraId="49417F56" w14:textId="4144E034" w:rsidR="00D375A6" w:rsidRPr="00870F6B" w:rsidRDefault="00D375A6" w:rsidP="00622847">
      <w:pPr>
        <w:spacing w:line="480" w:lineRule="auto"/>
        <w:ind w:firstLine="720"/>
        <w:rPr>
          <w:bCs/>
        </w:rPr>
      </w:pPr>
      <w:r w:rsidRPr="00870F6B">
        <w:rPr>
          <w:bCs/>
        </w:rPr>
        <w:t xml:space="preserve">For the analysis of CRO adoption, we use complementary log-log models (Allison 1995). If a bank did not adopt a CRO before the end of 2010, its series is right-censored.  </w:t>
      </w:r>
      <w:proofErr w:type="gramStart"/>
      <w:r w:rsidRPr="00870F6B">
        <w:rPr>
          <w:bCs/>
        </w:rPr>
        <w:t>Left-censoring</w:t>
      </w:r>
      <w:proofErr w:type="gramEnd"/>
      <w:r w:rsidRPr="00870F6B">
        <w:rPr>
          <w:bCs/>
        </w:rPr>
        <w:t xml:space="preserve"> is not a concern, as no bank in our sample appointed a CRO before 1995. </w:t>
      </w:r>
    </w:p>
    <w:p w14:paraId="70BEF309" w14:textId="0A96CE70" w:rsidR="00D375A6" w:rsidRDefault="00D375A6" w:rsidP="00622847">
      <w:pPr>
        <w:spacing w:line="480" w:lineRule="auto"/>
        <w:ind w:firstLine="720"/>
        <w:rPr>
          <w:bCs/>
        </w:rPr>
      </w:pPr>
      <w:r w:rsidRPr="002D662C">
        <w:rPr>
          <w:bCs/>
        </w:rPr>
        <w:t>For</w:t>
      </w:r>
      <w:r w:rsidRPr="00150C26">
        <w:rPr>
          <w:bCs/>
        </w:rPr>
        <w:t xml:space="preserve"> the derivatives </w:t>
      </w:r>
      <w:r>
        <w:rPr>
          <w:bCs/>
        </w:rPr>
        <w:t>analysis</w:t>
      </w:r>
      <w:r w:rsidRPr="00150C26">
        <w:rPr>
          <w:bCs/>
        </w:rPr>
        <w:t>, w</w:t>
      </w:r>
      <w:r w:rsidRPr="00426A1B">
        <w:rPr>
          <w:bCs/>
        </w:rPr>
        <w:t>e use Heckman (1974) selection models to account for the selection process that led some banks, but not others, to hold derivatives</w:t>
      </w:r>
      <w:r>
        <w:rPr>
          <w:bCs/>
        </w:rPr>
        <w:t xml:space="preserve"> (see Appendix B for the selection model)</w:t>
      </w:r>
      <w:r w:rsidRPr="00426A1B">
        <w:rPr>
          <w:bCs/>
        </w:rPr>
        <w:t xml:space="preserve">. </w:t>
      </w:r>
      <w:r w:rsidRPr="00870F6B">
        <w:rPr>
          <w:bCs/>
        </w:rPr>
        <w:t xml:space="preserve">Many </w:t>
      </w:r>
      <w:r>
        <w:rPr>
          <w:bCs/>
        </w:rPr>
        <w:t xml:space="preserve">sampled </w:t>
      </w:r>
      <w:r w:rsidRPr="00870F6B">
        <w:rPr>
          <w:bCs/>
        </w:rPr>
        <w:t xml:space="preserve">banks never held </w:t>
      </w:r>
      <w:r>
        <w:rPr>
          <w:bCs/>
        </w:rPr>
        <w:t xml:space="preserve">particular </w:t>
      </w:r>
      <w:r w:rsidRPr="00870F6B">
        <w:rPr>
          <w:bCs/>
        </w:rPr>
        <w:t xml:space="preserve">derivatives. </w:t>
      </w:r>
      <w:r>
        <w:rPr>
          <w:bCs/>
        </w:rPr>
        <w:t>Because t</w:t>
      </w:r>
      <w:r w:rsidRPr="00426A1B">
        <w:rPr>
          <w:bCs/>
        </w:rPr>
        <w:t xml:space="preserve">he selection equation must include at least one predictor </w:t>
      </w:r>
      <w:r>
        <w:rPr>
          <w:bCs/>
        </w:rPr>
        <w:t xml:space="preserve">that is </w:t>
      </w:r>
      <w:r w:rsidRPr="00426A1B">
        <w:rPr>
          <w:bCs/>
        </w:rPr>
        <w:t>excluded from the outcome equation</w:t>
      </w:r>
      <w:r>
        <w:rPr>
          <w:bCs/>
        </w:rPr>
        <w:t xml:space="preserve">, </w:t>
      </w:r>
      <w:r w:rsidRPr="00426A1B">
        <w:rPr>
          <w:bCs/>
        </w:rPr>
        <w:t xml:space="preserve">we exclude </w:t>
      </w:r>
      <w:r w:rsidR="00277BC7">
        <w:rPr>
          <w:bCs/>
        </w:rPr>
        <w:t xml:space="preserve">derivatives </w:t>
      </w:r>
      <w:r w:rsidRPr="00426A1B">
        <w:rPr>
          <w:bCs/>
        </w:rPr>
        <w:t>density</w:t>
      </w:r>
      <w:r w:rsidR="00277BC7">
        <w:rPr>
          <w:bCs/>
        </w:rPr>
        <w:t xml:space="preserve">. </w:t>
      </w:r>
      <w:r w:rsidRPr="00426A1B">
        <w:rPr>
          <w:bCs/>
        </w:rPr>
        <w:t xml:space="preserve">Covariates </w:t>
      </w:r>
      <w:r>
        <w:rPr>
          <w:bCs/>
        </w:rPr>
        <w:t>in</w:t>
      </w:r>
      <w:r w:rsidRPr="00426A1B">
        <w:rPr>
          <w:bCs/>
        </w:rPr>
        <w:t xml:space="preserve"> the selection and outcome equations are otherwise identical. </w:t>
      </w:r>
    </w:p>
    <w:p w14:paraId="687E9694" w14:textId="1E20BA35" w:rsidR="00D375A6" w:rsidRPr="00150C26" w:rsidRDefault="00385FB3" w:rsidP="00622847">
      <w:pPr>
        <w:spacing w:line="480" w:lineRule="auto"/>
        <w:ind w:firstLine="720"/>
        <w:rPr>
          <w:bCs/>
        </w:rPr>
      </w:pPr>
      <w:r w:rsidRPr="00FF3CC9">
        <w:rPr>
          <w:bCs/>
        </w:rPr>
        <w:t>In derivatives models</w:t>
      </w:r>
      <w:r w:rsidR="00FF3CC9" w:rsidRPr="00FF3CC9">
        <w:rPr>
          <w:bCs/>
        </w:rPr>
        <w:t>,</w:t>
      </w:r>
      <w:r w:rsidRPr="00FF3CC9">
        <w:rPr>
          <w:bCs/>
        </w:rPr>
        <w:t xml:space="preserve"> w</w:t>
      </w:r>
      <w:r w:rsidR="00D375A6" w:rsidRPr="00FF3CC9">
        <w:rPr>
          <w:bCs/>
        </w:rPr>
        <w:t>e report</w:t>
      </w:r>
      <w:r w:rsidR="00D375A6" w:rsidRPr="00426A1B">
        <w:rPr>
          <w:bCs/>
        </w:rPr>
        <w:t xml:space="preserve"> bank-clustered robust standard errors to account for multiple observations from the same bank.</w:t>
      </w:r>
      <w:r w:rsidR="00E37DF5">
        <w:rPr>
          <w:bCs/>
        </w:rPr>
        <w:t xml:space="preserve"> </w:t>
      </w:r>
      <w:r w:rsidR="00D375A6" w:rsidRPr="00870F6B">
        <w:rPr>
          <w:bCs/>
        </w:rPr>
        <w:t>Reverse causality is a concern, as banks with larger derivatives holdings or</w:t>
      </w:r>
      <w:r w:rsidR="00D375A6">
        <w:rPr>
          <w:bCs/>
        </w:rPr>
        <w:t xml:space="preserve"> risk </w:t>
      </w:r>
      <w:r w:rsidR="00D375A6" w:rsidRPr="00870F6B">
        <w:rPr>
          <w:bCs/>
        </w:rPr>
        <w:t>appetite</w:t>
      </w:r>
      <w:r w:rsidR="00D375A6">
        <w:rPr>
          <w:bCs/>
        </w:rPr>
        <w:t>s</w:t>
      </w:r>
      <w:r w:rsidR="00D375A6" w:rsidRPr="00870F6B">
        <w:rPr>
          <w:bCs/>
        </w:rPr>
        <w:t xml:space="preserve"> may be more likely to appoint CROs. To address </w:t>
      </w:r>
      <w:r w:rsidR="00D375A6">
        <w:rPr>
          <w:bCs/>
        </w:rPr>
        <w:t>reverse causality</w:t>
      </w:r>
      <w:r w:rsidR="00D375A6" w:rsidRPr="00870F6B">
        <w:rPr>
          <w:bCs/>
        </w:rPr>
        <w:t xml:space="preserve">, we replicate </w:t>
      </w:r>
      <w:r w:rsidR="00D375A6">
        <w:rPr>
          <w:bCs/>
        </w:rPr>
        <w:t>the</w:t>
      </w:r>
      <w:r w:rsidR="00D375A6" w:rsidRPr="00D62A4F">
        <w:rPr>
          <w:bCs/>
        </w:rPr>
        <w:t xml:space="preserve"> analysis using instrumental variables (Angrist and Pischke 2009). Instrumental variable methods allow for consistent estimation</w:t>
      </w:r>
      <w:r w:rsidR="00D375A6" w:rsidRPr="006267ED">
        <w:rPr>
          <w:bCs/>
        </w:rPr>
        <w:t xml:space="preserve"> when error terms are correlated with the covariates. Two conditions must hold: (1) the instrument must be correlated with the endogenous explanatory variables, conditional on other covariates, and (2) the instrument cannot predict the dependent variable</w:t>
      </w:r>
      <w:r w:rsidR="00D375A6">
        <w:rPr>
          <w:bCs/>
        </w:rPr>
        <w:t xml:space="preserve"> directly</w:t>
      </w:r>
      <w:r w:rsidR="00D375A6" w:rsidRPr="006267ED">
        <w:rPr>
          <w:bCs/>
        </w:rPr>
        <w:t xml:space="preserve">. We use </w:t>
      </w:r>
      <w:r w:rsidR="00D375A6">
        <w:rPr>
          <w:bCs/>
        </w:rPr>
        <w:t xml:space="preserve">two variables expected to affect a bank’s decision to appoint a CRO, but not its derivatives holdings: presence of other </w:t>
      </w:r>
      <w:r w:rsidR="00D375A6" w:rsidRPr="006267ED">
        <w:rPr>
          <w:bCs/>
        </w:rPr>
        <w:t>(non-risk-related) compliance officers</w:t>
      </w:r>
      <w:r w:rsidR="00B45EC3">
        <w:rPr>
          <w:bCs/>
        </w:rPr>
        <w:t xml:space="preserve">, and female board members. </w:t>
      </w:r>
      <w:r w:rsidR="00D375A6">
        <w:rPr>
          <w:bCs/>
        </w:rPr>
        <w:t>Compliance officers in one domain have been shown to affect officers in other dom</w:t>
      </w:r>
      <w:r w:rsidR="00B45EC3">
        <w:rPr>
          <w:bCs/>
        </w:rPr>
        <w:t xml:space="preserve">ains (Dobbin and Sutton 1998). </w:t>
      </w:r>
      <w:r w:rsidR="00D375A6">
        <w:rPr>
          <w:bCs/>
        </w:rPr>
        <w:t>Female board members have been shown to increase corporate monitoring and complia</w:t>
      </w:r>
      <w:r w:rsidR="00E37DF5">
        <w:rPr>
          <w:bCs/>
        </w:rPr>
        <w:t xml:space="preserve">nce (Adams and Ferriera 2009). </w:t>
      </w:r>
      <w:r w:rsidR="00D375A6">
        <w:rPr>
          <w:bCs/>
        </w:rPr>
        <w:t>T</w:t>
      </w:r>
      <w:r w:rsidR="00D375A6">
        <w:rPr>
          <w:lang w:val="en" w:eastAsia="ja-JP"/>
        </w:rPr>
        <w:t xml:space="preserve">o simultaneously address sample selection bias and endogeneity, we follow a two-stage </w:t>
      </w:r>
      <w:r w:rsidR="00D375A6">
        <w:rPr>
          <w:lang w:val="en" w:eastAsia="ja-JP"/>
        </w:rPr>
        <w:lastRenderedPageBreak/>
        <w:t xml:space="preserve">procedure described in Wooldridge (2010). </w:t>
      </w:r>
      <w:r w:rsidR="00FF3CC9">
        <w:rPr>
          <w:lang w:val="en" w:eastAsia="ja-JP"/>
        </w:rPr>
        <w:t xml:space="preserve">For each </w:t>
      </w:r>
      <w:r w:rsidR="007050EE">
        <w:rPr>
          <w:lang w:val="en" w:eastAsia="ja-JP"/>
        </w:rPr>
        <w:t>type of derivative,</w:t>
      </w:r>
      <w:r w:rsidR="00FF3CC9">
        <w:rPr>
          <w:lang w:val="en" w:eastAsia="ja-JP"/>
        </w:rPr>
        <w:t xml:space="preserve"> w</w:t>
      </w:r>
      <w:r w:rsidR="00D375A6">
        <w:rPr>
          <w:lang w:val="en" w:eastAsia="ja-JP"/>
        </w:rPr>
        <w:t xml:space="preserve">e first estimate a probit model of </w:t>
      </w:r>
      <w:r w:rsidR="00FF3CC9">
        <w:rPr>
          <w:lang w:val="en" w:eastAsia="ja-JP"/>
        </w:rPr>
        <w:t xml:space="preserve">a </w:t>
      </w:r>
      <w:r w:rsidR="00D375A6">
        <w:rPr>
          <w:lang w:val="en" w:eastAsia="ja-JP"/>
        </w:rPr>
        <w:t>bank</w:t>
      </w:r>
      <w:r w:rsidR="00FF3CC9">
        <w:rPr>
          <w:lang w:val="en" w:eastAsia="ja-JP"/>
        </w:rPr>
        <w:t>’s</w:t>
      </w:r>
      <w:r w:rsidR="00D375A6">
        <w:rPr>
          <w:lang w:val="en" w:eastAsia="ja-JP"/>
        </w:rPr>
        <w:t xml:space="preserve"> hold</w:t>
      </w:r>
      <w:r w:rsidR="00FE724F">
        <w:rPr>
          <w:lang w:val="en" w:eastAsia="ja-JP"/>
        </w:rPr>
        <w:t>ing of</w:t>
      </w:r>
      <w:r w:rsidR="00D375A6">
        <w:rPr>
          <w:lang w:val="en" w:eastAsia="ja-JP"/>
        </w:rPr>
        <w:t xml:space="preserve"> </w:t>
      </w:r>
      <w:r w:rsidR="00FF3CC9">
        <w:rPr>
          <w:lang w:val="en" w:eastAsia="ja-JP"/>
        </w:rPr>
        <w:t xml:space="preserve">any </w:t>
      </w:r>
      <w:r w:rsidR="00D375A6">
        <w:rPr>
          <w:lang w:val="en" w:eastAsia="ja-JP"/>
        </w:rPr>
        <w:t xml:space="preserve">derivatives </w:t>
      </w:r>
      <w:r w:rsidR="007050EE">
        <w:rPr>
          <w:lang w:val="en" w:eastAsia="ja-JP"/>
        </w:rPr>
        <w:t xml:space="preserve">of the type </w:t>
      </w:r>
      <w:r w:rsidR="00D375A6">
        <w:rPr>
          <w:lang w:val="en" w:eastAsia="ja-JP"/>
        </w:rPr>
        <w:t xml:space="preserve">and generate the inverse Mills' ratio (IMR). </w:t>
      </w:r>
      <w:r w:rsidR="00FE724F">
        <w:rPr>
          <w:lang w:val="en" w:eastAsia="ja-JP"/>
        </w:rPr>
        <w:t>In the second stage, w</w:t>
      </w:r>
      <w:r w:rsidR="00D375A6">
        <w:rPr>
          <w:lang w:val="en" w:eastAsia="ja-JP"/>
        </w:rPr>
        <w:t xml:space="preserve">e include </w:t>
      </w:r>
      <w:r w:rsidR="00BA36B8">
        <w:rPr>
          <w:lang w:val="en" w:eastAsia="ja-JP"/>
        </w:rPr>
        <w:t xml:space="preserve">the </w:t>
      </w:r>
      <w:r w:rsidR="00D375A6">
        <w:rPr>
          <w:lang w:val="en" w:eastAsia="ja-JP"/>
        </w:rPr>
        <w:t xml:space="preserve">IMR </w:t>
      </w:r>
      <w:r w:rsidR="00FE724F">
        <w:rPr>
          <w:lang w:val="en" w:eastAsia="ja-JP"/>
        </w:rPr>
        <w:t xml:space="preserve">in modeling </w:t>
      </w:r>
      <w:r w:rsidR="00D375A6">
        <w:rPr>
          <w:lang w:val="en" w:eastAsia="ja-JP"/>
        </w:rPr>
        <w:t xml:space="preserve">derivatives holdings, </w:t>
      </w:r>
      <w:r w:rsidR="00FE724F">
        <w:rPr>
          <w:lang w:val="en" w:eastAsia="ja-JP"/>
        </w:rPr>
        <w:t xml:space="preserve">and </w:t>
      </w:r>
      <w:r w:rsidR="00D375A6">
        <w:rPr>
          <w:lang w:val="en" w:eastAsia="ja-JP"/>
        </w:rPr>
        <w:t>instrument for the CRO variable.</w:t>
      </w:r>
    </w:p>
    <w:p w14:paraId="5B63A4C6" w14:textId="77777777" w:rsidR="00D375A6" w:rsidRDefault="00D375A6" w:rsidP="00622847">
      <w:pPr>
        <w:spacing w:line="480" w:lineRule="auto"/>
        <w:rPr>
          <w:b/>
        </w:rPr>
      </w:pPr>
    </w:p>
    <w:p w14:paraId="70B8C04B" w14:textId="2B71009B" w:rsidR="005B2400" w:rsidRPr="00426A1B" w:rsidRDefault="00A8762B" w:rsidP="00622847">
      <w:pPr>
        <w:spacing w:line="480" w:lineRule="auto"/>
        <w:rPr>
          <w:b/>
        </w:rPr>
      </w:pPr>
      <w:r w:rsidRPr="00426A1B">
        <w:rPr>
          <w:b/>
        </w:rPr>
        <w:t>FINDINGS</w:t>
      </w:r>
    </w:p>
    <w:p w14:paraId="12A59F4D" w14:textId="05EC2971" w:rsidR="00A8762B" w:rsidRDefault="0052177A" w:rsidP="00622847">
      <w:pPr>
        <w:spacing w:line="480" w:lineRule="auto"/>
        <w:ind w:firstLine="720"/>
      </w:pPr>
      <w:r>
        <w:t xml:space="preserve">The models </w:t>
      </w:r>
      <w:r w:rsidR="00A8762B">
        <w:t xml:space="preserve">suggest that </w:t>
      </w:r>
      <w:r w:rsidR="00A8762B" w:rsidRPr="00426A1B">
        <w:t xml:space="preserve">heightened legal and regulatory pressures </w:t>
      </w:r>
      <w:r w:rsidR="00A8762B">
        <w:t xml:space="preserve">stimulated banks to </w:t>
      </w:r>
      <w:r w:rsidR="00584F4E">
        <w:t xml:space="preserve">appoint </w:t>
      </w:r>
      <w:r w:rsidR="00A8762B">
        <w:t>Chief Risk O</w:t>
      </w:r>
      <w:r w:rsidR="00A8762B" w:rsidRPr="00426A1B">
        <w:t xml:space="preserve">fficers. </w:t>
      </w:r>
      <w:r w:rsidR="00584F4E">
        <w:t>CROs</w:t>
      </w:r>
      <w:r w:rsidR="00A8762B" w:rsidRPr="00426A1B">
        <w:t xml:space="preserve">, in turn, predict the extent of bank exposure </w:t>
      </w:r>
      <w:r w:rsidR="00A8762B" w:rsidRPr="00A204BD">
        <w:t xml:space="preserve">to </w:t>
      </w:r>
      <w:r w:rsidRPr="00A204BD">
        <w:t>the new</w:t>
      </w:r>
      <w:r w:rsidR="00BA38A4" w:rsidRPr="00A204BD">
        <w:t>, riskier and untested</w:t>
      </w:r>
      <w:r w:rsidRPr="00A204BD">
        <w:t xml:space="preserve"> derivatives. </w:t>
      </w:r>
      <w:r w:rsidR="00A8762B" w:rsidRPr="00A204BD">
        <w:t>Howe</w:t>
      </w:r>
      <w:r w:rsidR="00466B3D" w:rsidRPr="00A204BD">
        <w:t>ver</w:t>
      </w:r>
      <w:r w:rsidR="00466B3D" w:rsidRPr="003653B1">
        <w:t xml:space="preserve">, the interests of two powerful groups within banks </w:t>
      </w:r>
      <w:r w:rsidR="00A8762B" w:rsidRPr="003653B1">
        <w:t>- CEOs and institutional investors - moderate</w:t>
      </w:r>
      <w:r w:rsidR="00C24848" w:rsidRPr="003653B1">
        <w:t xml:space="preserve"> </w:t>
      </w:r>
      <w:r w:rsidR="00A8762B" w:rsidRPr="003653B1">
        <w:t>CRO promotion of riskier derivatives.</w:t>
      </w:r>
    </w:p>
    <w:p w14:paraId="2AE9C462" w14:textId="77777777" w:rsidR="003D56E7" w:rsidRDefault="003D56E7" w:rsidP="00622847">
      <w:pPr>
        <w:spacing w:line="480" w:lineRule="auto"/>
        <w:ind w:firstLine="720"/>
      </w:pPr>
    </w:p>
    <w:p w14:paraId="6D07DF0A" w14:textId="2930FFB2" w:rsidR="00420ABF" w:rsidRPr="00933CB5" w:rsidRDefault="00420ABF" w:rsidP="00622847">
      <w:pPr>
        <w:spacing w:line="480" w:lineRule="auto"/>
        <w:rPr>
          <w:b/>
          <w:bCs/>
        </w:rPr>
      </w:pPr>
      <w:r w:rsidRPr="00150C26">
        <w:rPr>
          <w:b/>
          <w:bCs/>
        </w:rPr>
        <w:t>CRO Diffusion</w:t>
      </w:r>
    </w:p>
    <w:p w14:paraId="62047280" w14:textId="3D871394" w:rsidR="00420ABF" w:rsidRPr="00150C26" w:rsidRDefault="00420ABF" w:rsidP="00622847">
      <w:pPr>
        <w:spacing w:line="480" w:lineRule="auto"/>
        <w:ind w:firstLine="720"/>
        <w:rPr>
          <w:strike/>
        </w:rPr>
      </w:pPr>
      <w:r w:rsidRPr="00870F6B">
        <w:t xml:space="preserve">We find evidence that </w:t>
      </w:r>
      <w:r>
        <w:t>regulatory change</w:t>
      </w:r>
      <w:r w:rsidR="0052177A">
        <w:t>s</w:t>
      </w:r>
      <w:r>
        <w:t xml:space="preserve"> </w:t>
      </w:r>
      <w:r w:rsidR="0052177A">
        <w:t>at the turn of the century</w:t>
      </w:r>
      <w:r w:rsidRPr="00870F6B">
        <w:t xml:space="preserve"> </w:t>
      </w:r>
      <w:r>
        <w:t xml:space="preserve">popularized </w:t>
      </w:r>
      <w:r w:rsidRPr="00870F6B">
        <w:t>chief risk officer</w:t>
      </w:r>
      <w:r>
        <w:t>s</w:t>
      </w:r>
      <w:r w:rsidRPr="00870F6B">
        <w:t xml:space="preserve"> among large commercial banks. In </w:t>
      </w:r>
      <w:r w:rsidR="00584F4E">
        <w:t>the baseline model (</w:t>
      </w:r>
      <w:r w:rsidRPr="00870F6B">
        <w:t>Table 2</w:t>
      </w:r>
      <w:r w:rsidR="00584F4E">
        <w:t>, Model 1), l</w:t>
      </w:r>
      <w:r w:rsidRPr="00E14652">
        <w:t>arge banks and banks experiencing share-price volatility (</w:t>
      </w:r>
      <w:r w:rsidRPr="00E14652">
        <w:rPr>
          <w:i/>
        </w:rPr>
        <w:t>beta)</w:t>
      </w:r>
      <w:r w:rsidRPr="00E14652">
        <w:t xml:space="preserve"> are more likely to appoint CROs. </w:t>
      </w:r>
      <w:r w:rsidR="0052177A">
        <w:t xml:space="preserve">Industry </w:t>
      </w:r>
      <w:r w:rsidRPr="00E14652">
        <w:t>CRO popularity also predicts change. Model 2 confirms that banks are more likely to appoint CROs following major regulatory changes (2003-2010</w:t>
      </w:r>
      <w:r w:rsidRPr="00080D5F">
        <w:t>)</w:t>
      </w:r>
      <w:r w:rsidRPr="00E14652">
        <w:t xml:space="preserve">. </w:t>
      </w:r>
      <w:r w:rsidR="00D80507" w:rsidRPr="00080D5F">
        <w:t xml:space="preserve">In unreported analyses, we also test whether </w:t>
      </w:r>
      <w:r w:rsidR="00D80507" w:rsidRPr="00E14652">
        <w:rPr>
          <w:bCs/>
        </w:rPr>
        <w:t xml:space="preserve">these </w:t>
      </w:r>
      <w:r w:rsidR="00D80507" w:rsidRPr="00E14652">
        <w:t>results are sensitive to the choice of cut-point</w:t>
      </w:r>
      <w:r w:rsidR="00D80507" w:rsidRPr="00E14652">
        <w:rPr>
          <w:bCs/>
        </w:rPr>
        <w:t>,</w:t>
      </w:r>
      <w:r w:rsidR="00D80507" w:rsidRPr="00E14652">
        <w:t xml:space="preserve"> by redefining the </w:t>
      </w:r>
      <w:r w:rsidR="00196ECC" w:rsidRPr="00E14652">
        <w:t xml:space="preserve">post-regulatory-change </w:t>
      </w:r>
      <w:r w:rsidR="00D80507" w:rsidRPr="00E14652">
        <w:t>period to include years after 1999, 2000, 2002, 2003, or 2004. The results are robust to</w:t>
      </w:r>
      <w:r w:rsidR="00196ECC" w:rsidRPr="00E14652">
        <w:t xml:space="preserve"> these alternative</w:t>
      </w:r>
      <w:r w:rsidR="00196ECC">
        <w:t xml:space="preserve"> specifications</w:t>
      </w:r>
      <w:r w:rsidR="00D80507">
        <w:t xml:space="preserve">. </w:t>
      </w:r>
    </w:p>
    <w:p w14:paraId="5FA979AE" w14:textId="52AEAEA5" w:rsidR="00420ABF" w:rsidRPr="00B44EBD" w:rsidRDefault="00420ABF" w:rsidP="00622847">
      <w:pPr>
        <w:spacing w:line="480" w:lineRule="auto"/>
        <w:ind w:firstLine="720"/>
      </w:pPr>
      <w:r w:rsidRPr="00820019">
        <w:t>Model 4 reveals that banks responsive to regulation are significantly more likely to appoint CROs. In the period leading to the credit crisis of 200</w:t>
      </w:r>
      <w:r w:rsidR="005726DB" w:rsidRPr="00820019">
        <w:t>7</w:t>
      </w:r>
      <w:r w:rsidR="002C5DB4" w:rsidRPr="00820019">
        <w:t>-2008</w:t>
      </w:r>
      <w:r w:rsidRPr="00820019">
        <w:t xml:space="preserve">, each additional compliance officer raises the likelihood of CRO </w:t>
      </w:r>
      <w:r w:rsidR="00A77D46" w:rsidRPr="00820019">
        <w:t xml:space="preserve">appointment </w:t>
      </w:r>
      <w:r w:rsidRPr="00820019">
        <w:t>by 825 percent, which suggests that CRO</w:t>
      </w:r>
      <w:r w:rsidRPr="002065EB">
        <w:t xml:space="preserve"> </w:t>
      </w:r>
      <w:r w:rsidRPr="002065EB">
        <w:lastRenderedPageBreak/>
        <w:t xml:space="preserve">uptake was faster and more extensive among banks concerned about compliance. </w:t>
      </w:r>
      <w:r w:rsidR="00584F4E" w:rsidRPr="002065EB">
        <w:t xml:space="preserve">In </w:t>
      </w:r>
      <w:r w:rsidRPr="002065EB">
        <w:t>Model 3</w:t>
      </w:r>
      <w:r w:rsidR="00584F4E" w:rsidRPr="002065EB">
        <w:t xml:space="preserve">, </w:t>
      </w:r>
      <w:r w:rsidR="00533914" w:rsidRPr="002065EB">
        <w:t xml:space="preserve">regulatory </w:t>
      </w:r>
      <w:r w:rsidRPr="002065EB">
        <w:t xml:space="preserve">compliance officers </w:t>
      </w:r>
      <w:r w:rsidR="00533914" w:rsidRPr="002065EB">
        <w:t>do</w:t>
      </w:r>
      <w:r w:rsidR="00584F4E" w:rsidRPr="002065EB">
        <w:t xml:space="preserve"> not </w:t>
      </w:r>
      <w:r w:rsidR="00533914" w:rsidRPr="002065EB">
        <w:t>significant a</w:t>
      </w:r>
      <w:r w:rsidR="00584F4E" w:rsidRPr="002065EB">
        <w:t xml:space="preserve">ffect </w:t>
      </w:r>
      <w:r w:rsidR="00533914" w:rsidRPr="002065EB">
        <w:t xml:space="preserve">CRO creation </w:t>
      </w:r>
      <w:r w:rsidR="00584F4E" w:rsidRPr="002065EB">
        <w:t xml:space="preserve">for the full period </w:t>
      </w:r>
      <w:r w:rsidRPr="002065EB">
        <w:t xml:space="preserve">(1996-2010), </w:t>
      </w:r>
      <w:r w:rsidR="002065EB" w:rsidRPr="002065EB">
        <w:t>which suggests</w:t>
      </w:r>
      <w:r w:rsidR="00584F4E" w:rsidRPr="002065EB">
        <w:t xml:space="preserve"> that </w:t>
      </w:r>
      <w:r w:rsidR="00533914" w:rsidRPr="002065EB">
        <w:t xml:space="preserve">bank </w:t>
      </w:r>
      <w:r w:rsidR="00584F4E" w:rsidRPr="002065EB">
        <w:t xml:space="preserve">motives </w:t>
      </w:r>
      <w:r w:rsidR="002065EB" w:rsidRPr="002065EB">
        <w:t xml:space="preserve">for creating CROs </w:t>
      </w:r>
      <w:r w:rsidR="00584F4E" w:rsidRPr="002065EB">
        <w:t xml:space="preserve">changed </w:t>
      </w:r>
      <w:r w:rsidRPr="002065EB">
        <w:t>after the crisis.</w:t>
      </w:r>
      <w:r w:rsidRPr="00B44EBD">
        <w:t xml:space="preserve"> </w:t>
      </w:r>
    </w:p>
    <w:p w14:paraId="03ADF89B" w14:textId="2A987618" w:rsidR="00420ABF" w:rsidRPr="0044766F" w:rsidRDefault="00533914" w:rsidP="00622847">
      <w:pPr>
        <w:spacing w:line="480" w:lineRule="auto"/>
        <w:ind w:firstLine="720"/>
        <w:rPr>
          <w:rFonts w:eastAsia="Times New Roman"/>
        </w:rPr>
      </w:pPr>
      <w:r>
        <w:t>In</w:t>
      </w:r>
      <w:r w:rsidR="00420ABF" w:rsidRPr="00B44EBD">
        <w:t xml:space="preserve"> Table 2</w:t>
      </w:r>
      <w:r>
        <w:t>,</w:t>
      </w:r>
      <w:r w:rsidR="00420ABF" w:rsidRPr="00B44EBD">
        <w:t xml:space="preserve"> </w:t>
      </w:r>
      <w:r>
        <w:t>n</w:t>
      </w:r>
      <w:r w:rsidR="00420ABF" w:rsidRPr="00B44EBD">
        <w:t>one</w:t>
      </w:r>
      <w:r w:rsidR="00420ABF" w:rsidRPr="00D047F2">
        <w:t xml:space="preserve"> of the key predictors of bank risk-taking predict CRO </w:t>
      </w:r>
      <w:r w:rsidR="00A77D46">
        <w:t>appointment</w:t>
      </w:r>
      <w:r w:rsidR="00420ABF" w:rsidRPr="00D047F2">
        <w:t>. The risk appetites of</w:t>
      </w:r>
      <w:r w:rsidR="00420ABF">
        <w:t xml:space="preserve"> CEOs and institutional investors, as measured by CEO performance pay, CEO shareholding, </w:t>
      </w:r>
      <w:r w:rsidR="00A77D46">
        <w:t xml:space="preserve">and </w:t>
      </w:r>
      <w:r w:rsidR="00420ABF">
        <w:t xml:space="preserve">institutional blockholding, do not affect CRO appointment. Board independence does not predict CRO appointment. Bank risk exposure, measured by financial leverage, capital ratio, extent of non-traditional banking activity, </w:t>
      </w:r>
      <w:r w:rsidR="00A77D46">
        <w:t xml:space="preserve">and </w:t>
      </w:r>
      <w:r w:rsidR="00420ABF">
        <w:t xml:space="preserve">exposure to interest rate risk </w:t>
      </w:r>
      <w:r>
        <w:t>and</w:t>
      </w:r>
      <w:r w:rsidR="00420ABF">
        <w:t xml:space="preserve"> exchange risk, does not predict CRO uptake. N</w:t>
      </w:r>
      <w:r>
        <w:t>either</w:t>
      </w:r>
      <w:r w:rsidR="00420ABF">
        <w:t xml:space="preserve"> does bank performance, </w:t>
      </w:r>
      <w:r w:rsidR="00CE46DB">
        <w:t>n</w:t>
      </w:r>
      <w:r w:rsidR="00420ABF">
        <w:t xml:space="preserve">or charter value. In unreported models, we </w:t>
      </w:r>
      <w:r w:rsidR="00CE46DB">
        <w:t xml:space="preserve">also </w:t>
      </w:r>
      <w:r w:rsidR="00420ABF">
        <w:t xml:space="preserve">find that </w:t>
      </w:r>
      <w:r w:rsidR="00420ABF">
        <w:rPr>
          <w:rFonts w:eastAsia="Times New Roman"/>
        </w:rPr>
        <w:t>a</w:t>
      </w:r>
      <w:r w:rsidR="00420ABF" w:rsidRPr="00BC6B84">
        <w:rPr>
          <w:rFonts w:eastAsia="Times New Roman"/>
        </w:rPr>
        <w:t xml:space="preserve"> bank’s prior derivatives activity does not predict</w:t>
      </w:r>
      <w:r w:rsidR="00420ABF">
        <w:rPr>
          <w:rFonts w:eastAsia="Times New Roman"/>
        </w:rPr>
        <w:t xml:space="preserve"> the creation of a CRO position</w:t>
      </w:r>
      <w:r w:rsidR="006F498D">
        <w:rPr>
          <w:rFonts w:eastAsia="Times New Roman"/>
        </w:rPr>
        <w:t xml:space="preserve">, </w:t>
      </w:r>
      <w:r w:rsidR="005E3C84">
        <w:rPr>
          <w:rFonts w:eastAsia="Times New Roman"/>
        </w:rPr>
        <w:t xml:space="preserve">which </w:t>
      </w:r>
      <w:r w:rsidR="00420ABF">
        <w:rPr>
          <w:rFonts w:eastAsia="Times New Roman"/>
        </w:rPr>
        <w:t>suggest</w:t>
      </w:r>
      <w:r w:rsidR="005E3C84">
        <w:rPr>
          <w:rFonts w:eastAsia="Times New Roman"/>
        </w:rPr>
        <w:t>s</w:t>
      </w:r>
      <w:r w:rsidR="006F498D">
        <w:rPr>
          <w:rFonts w:eastAsia="Times New Roman"/>
        </w:rPr>
        <w:t xml:space="preserve"> </w:t>
      </w:r>
      <w:r w:rsidR="00420ABF">
        <w:rPr>
          <w:rFonts w:eastAsia="Times New Roman"/>
        </w:rPr>
        <w:t>that banks did not appoint CROs to manage existing derivatives</w:t>
      </w:r>
      <w:r w:rsidR="00420ABF" w:rsidRPr="0044766F">
        <w:rPr>
          <w:rFonts w:eastAsia="Times New Roman"/>
        </w:rPr>
        <w:t>. Taken together, the</w:t>
      </w:r>
      <w:r w:rsidR="00420ABF">
        <w:rPr>
          <w:rFonts w:eastAsia="Times New Roman"/>
        </w:rPr>
        <w:t>se</w:t>
      </w:r>
      <w:r w:rsidR="00420ABF" w:rsidRPr="0044766F">
        <w:rPr>
          <w:rFonts w:eastAsia="Times New Roman"/>
        </w:rPr>
        <w:t xml:space="preserve"> findings </w:t>
      </w:r>
      <w:r w:rsidR="00871F75">
        <w:rPr>
          <w:rFonts w:eastAsia="Times New Roman"/>
        </w:rPr>
        <w:t xml:space="preserve">indicate </w:t>
      </w:r>
      <w:r w:rsidR="00420ABF" w:rsidRPr="0044766F">
        <w:rPr>
          <w:rFonts w:eastAsia="Times New Roman"/>
        </w:rPr>
        <w:t xml:space="preserve">that CRO diffusion was more likely a response to </w:t>
      </w:r>
      <w:r w:rsidR="00420ABF">
        <w:rPr>
          <w:rFonts w:eastAsia="Times New Roman"/>
        </w:rPr>
        <w:t xml:space="preserve">new regulations than </w:t>
      </w:r>
      <w:r w:rsidR="005E3D1E">
        <w:rPr>
          <w:rFonts w:eastAsia="Times New Roman"/>
        </w:rPr>
        <w:t xml:space="preserve">an </w:t>
      </w:r>
      <w:r w:rsidR="00420ABF">
        <w:rPr>
          <w:rFonts w:eastAsia="Times New Roman"/>
        </w:rPr>
        <w:t xml:space="preserve">imperative to manage (or cover up) </w:t>
      </w:r>
      <w:r w:rsidR="00420ABF" w:rsidRPr="0044766F">
        <w:rPr>
          <w:rFonts w:eastAsia="Times New Roman"/>
        </w:rPr>
        <w:t>risk-taking.</w:t>
      </w:r>
      <w:r w:rsidR="00420ABF" w:rsidRPr="003F00F0">
        <w:rPr>
          <w:rFonts w:eastAsia="Times New Roman"/>
          <w:b/>
        </w:rPr>
        <w:t xml:space="preserve"> </w:t>
      </w:r>
    </w:p>
    <w:p w14:paraId="44271778" w14:textId="77777777" w:rsidR="00420ABF" w:rsidRDefault="00420ABF" w:rsidP="00622847">
      <w:pPr>
        <w:spacing w:line="480" w:lineRule="auto"/>
        <w:ind w:firstLine="720"/>
      </w:pPr>
    </w:p>
    <w:p w14:paraId="0E9E1AE4" w14:textId="2D5E2ABA" w:rsidR="00420ABF" w:rsidRPr="00EF2D51" w:rsidRDefault="00420ABF" w:rsidP="00622847">
      <w:pPr>
        <w:spacing w:line="480" w:lineRule="auto"/>
        <w:rPr>
          <w:b/>
          <w:bCs/>
        </w:rPr>
      </w:pPr>
      <w:r w:rsidRPr="00150C26">
        <w:rPr>
          <w:b/>
          <w:bCs/>
        </w:rPr>
        <w:t>CROs and Derivatives</w:t>
      </w:r>
    </w:p>
    <w:p w14:paraId="627A5061" w14:textId="3855EF93" w:rsidR="00420ABF" w:rsidRPr="00B7670F" w:rsidRDefault="00420ABF" w:rsidP="00622847">
      <w:pPr>
        <w:spacing w:line="480" w:lineRule="auto"/>
        <w:ind w:firstLine="720"/>
        <w:rPr>
          <w:bCs/>
        </w:rPr>
      </w:pPr>
      <w:r w:rsidRPr="00B7670F">
        <w:rPr>
          <w:bCs/>
        </w:rPr>
        <w:t xml:space="preserve">Consistent with Hypothesis 1, we find that CRO </w:t>
      </w:r>
      <w:r>
        <w:rPr>
          <w:bCs/>
        </w:rPr>
        <w:t xml:space="preserve">presence predicts holdings of the three new derivatives (see Table 3). Before </w:t>
      </w:r>
      <w:r w:rsidRPr="00B7670F">
        <w:rPr>
          <w:bCs/>
        </w:rPr>
        <w:t xml:space="preserve">the credit crisis (1995-2007), a CRO </w:t>
      </w:r>
      <w:r>
        <w:rPr>
          <w:bCs/>
        </w:rPr>
        <w:t xml:space="preserve">raises </w:t>
      </w:r>
      <w:r w:rsidR="002020B7">
        <w:rPr>
          <w:bCs/>
        </w:rPr>
        <w:t xml:space="preserve">holdings of </w:t>
      </w:r>
      <w:r>
        <w:rPr>
          <w:bCs/>
        </w:rPr>
        <w:t xml:space="preserve">over-the-counter options by </w:t>
      </w:r>
      <w:r w:rsidRPr="00B7670F">
        <w:rPr>
          <w:bCs/>
        </w:rPr>
        <w:t>247 percent</w:t>
      </w:r>
      <w:r>
        <w:rPr>
          <w:bCs/>
        </w:rPr>
        <w:t xml:space="preserve">, swaps by </w:t>
      </w:r>
      <w:r w:rsidRPr="00B7670F">
        <w:rPr>
          <w:bCs/>
        </w:rPr>
        <w:t>169 percent</w:t>
      </w:r>
      <w:r>
        <w:rPr>
          <w:bCs/>
        </w:rPr>
        <w:t xml:space="preserve">, and credit derivatives by </w:t>
      </w:r>
      <w:r w:rsidRPr="00B7670F">
        <w:rPr>
          <w:bCs/>
        </w:rPr>
        <w:t xml:space="preserve">644 percent. However, CRO </w:t>
      </w:r>
      <w:r w:rsidR="00EF557B">
        <w:rPr>
          <w:bCs/>
        </w:rPr>
        <w:t xml:space="preserve">presence </w:t>
      </w:r>
      <w:r>
        <w:rPr>
          <w:bCs/>
        </w:rPr>
        <w:t xml:space="preserve">does not predict </w:t>
      </w:r>
      <w:r w:rsidR="00C76D09">
        <w:rPr>
          <w:bCs/>
        </w:rPr>
        <w:t xml:space="preserve">holdings of </w:t>
      </w:r>
      <w:r w:rsidR="00633266">
        <w:rPr>
          <w:bCs/>
        </w:rPr>
        <w:t xml:space="preserve">more </w:t>
      </w:r>
      <w:r>
        <w:rPr>
          <w:bCs/>
        </w:rPr>
        <w:t>conventional derivatives</w:t>
      </w:r>
      <w:r w:rsidR="00633266">
        <w:rPr>
          <w:bCs/>
        </w:rPr>
        <w:t>, like</w:t>
      </w:r>
      <w:r>
        <w:rPr>
          <w:bCs/>
        </w:rPr>
        <w:t xml:space="preserve"> futures, forwards,</w:t>
      </w:r>
      <w:r w:rsidRPr="00B7670F">
        <w:rPr>
          <w:bCs/>
        </w:rPr>
        <w:t xml:space="preserve"> </w:t>
      </w:r>
      <w:r w:rsidR="00633266">
        <w:rPr>
          <w:bCs/>
        </w:rPr>
        <w:t xml:space="preserve">or </w:t>
      </w:r>
      <w:r w:rsidRPr="00B7670F">
        <w:rPr>
          <w:bCs/>
        </w:rPr>
        <w:t xml:space="preserve">exchange-traded options. </w:t>
      </w:r>
    </w:p>
    <w:p w14:paraId="096A71E2" w14:textId="13EA1A09" w:rsidR="00420ABF" w:rsidRPr="00177EB7" w:rsidRDefault="00420ABF" w:rsidP="00622847">
      <w:pPr>
        <w:spacing w:line="480" w:lineRule="auto"/>
        <w:ind w:firstLine="720"/>
        <w:rPr>
          <w:bCs/>
        </w:rPr>
      </w:pPr>
      <w:r w:rsidRPr="00B7670F">
        <w:rPr>
          <w:bCs/>
        </w:rPr>
        <w:t>Several other findings confirm expectations. Large</w:t>
      </w:r>
      <w:r w:rsidRPr="00426A1B">
        <w:rPr>
          <w:bCs/>
        </w:rPr>
        <w:t xml:space="preserve"> banks hold more of all six </w:t>
      </w:r>
      <w:r>
        <w:rPr>
          <w:bCs/>
        </w:rPr>
        <w:t>derivative</w:t>
      </w:r>
      <w:r w:rsidR="00017D8B">
        <w:rPr>
          <w:bCs/>
        </w:rPr>
        <w:t xml:space="preserve"> types</w:t>
      </w:r>
      <w:r w:rsidR="00A77D46">
        <w:rPr>
          <w:bCs/>
        </w:rPr>
        <w:t xml:space="preserve">. </w:t>
      </w:r>
      <w:r>
        <w:rPr>
          <w:bCs/>
        </w:rPr>
        <w:t xml:space="preserve">Share price volatility (systematic risk) raises exposure to forwards and over-the-counter </w:t>
      </w:r>
      <w:r>
        <w:rPr>
          <w:bCs/>
        </w:rPr>
        <w:lastRenderedPageBreak/>
        <w:t>optio</w:t>
      </w:r>
      <w:r w:rsidR="00B47D63">
        <w:rPr>
          <w:bCs/>
        </w:rPr>
        <w:t>ns, while market volatility</w:t>
      </w:r>
      <w:r>
        <w:rPr>
          <w:bCs/>
        </w:rPr>
        <w:t xml:space="preserve"> (unsystematic risk) raises exposure to conventional derivatives and credit derivatives</w:t>
      </w:r>
      <w:r w:rsidRPr="00426A1B">
        <w:rPr>
          <w:bCs/>
        </w:rPr>
        <w:t>.</w:t>
      </w:r>
      <w:r w:rsidR="00B47D63">
        <w:rPr>
          <w:bCs/>
        </w:rPr>
        <w:t xml:space="preserve"> </w:t>
      </w:r>
      <w:r>
        <w:rPr>
          <w:bCs/>
        </w:rPr>
        <w:t xml:space="preserve">Leverage raises use of over-the-counter options and </w:t>
      </w:r>
      <w:r w:rsidRPr="00426A1B">
        <w:rPr>
          <w:bCs/>
        </w:rPr>
        <w:t>credit derivatives</w:t>
      </w:r>
      <w:r>
        <w:rPr>
          <w:bCs/>
        </w:rPr>
        <w:t xml:space="preserve">, in support of the idea that risk-seeking banks favor new derivatives. Dependence on </w:t>
      </w:r>
      <w:r w:rsidRPr="00426A1B">
        <w:rPr>
          <w:bCs/>
        </w:rPr>
        <w:t xml:space="preserve">interest income </w:t>
      </w:r>
      <w:r>
        <w:rPr>
          <w:bCs/>
        </w:rPr>
        <w:t>raises exposure to the three conventional derivatives, but not new derivatives</w:t>
      </w:r>
      <w:r w:rsidR="00B47D63">
        <w:rPr>
          <w:bCs/>
        </w:rPr>
        <w:t xml:space="preserve">. </w:t>
      </w:r>
      <w:r>
        <w:rPr>
          <w:bCs/>
        </w:rPr>
        <w:t xml:space="preserve">Banks </w:t>
      </w:r>
      <w:r w:rsidR="00515BF6">
        <w:rPr>
          <w:bCs/>
        </w:rPr>
        <w:t xml:space="preserve">facing greater </w:t>
      </w:r>
      <w:r>
        <w:rPr>
          <w:bCs/>
        </w:rPr>
        <w:t xml:space="preserve">exchange risk hold more </w:t>
      </w:r>
      <w:r w:rsidRPr="00177EB7">
        <w:rPr>
          <w:bCs/>
        </w:rPr>
        <w:t>forwards</w:t>
      </w:r>
      <w:r>
        <w:rPr>
          <w:bCs/>
        </w:rPr>
        <w:t xml:space="preserve">, </w:t>
      </w:r>
      <w:r w:rsidR="00B47D63">
        <w:rPr>
          <w:bCs/>
        </w:rPr>
        <w:t xml:space="preserve">which are often </w:t>
      </w:r>
      <w:r>
        <w:rPr>
          <w:bCs/>
        </w:rPr>
        <w:t xml:space="preserve">used to manage that </w:t>
      </w:r>
      <w:r w:rsidR="004A06F9">
        <w:rPr>
          <w:bCs/>
        </w:rPr>
        <w:t xml:space="preserve">form of </w:t>
      </w:r>
      <w:r>
        <w:rPr>
          <w:bCs/>
        </w:rPr>
        <w:t>risk (Papaioannou 2006: 11)</w:t>
      </w:r>
      <w:r w:rsidRPr="00177EB7">
        <w:rPr>
          <w:bCs/>
        </w:rPr>
        <w:t xml:space="preserve">. </w:t>
      </w:r>
    </w:p>
    <w:p w14:paraId="539F9A01" w14:textId="77777777" w:rsidR="00420ABF" w:rsidRPr="00D91C96" w:rsidRDefault="00420ABF" w:rsidP="00622847">
      <w:pPr>
        <w:spacing w:line="480" w:lineRule="auto"/>
        <w:ind w:firstLine="720"/>
        <w:rPr>
          <w:b/>
          <w:bCs/>
        </w:rPr>
      </w:pPr>
      <w:r w:rsidRPr="00177EB7">
        <w:rPr>
          <w:bCs/>
        </w:rPr>
        <w:t xml:space="preserve">In Table 4, we present the instrumental variable analysis, which demonstrates that the CRO’s effect on derivatives holdings is substantially similar when instrumental variables are included in the model. After incorporating </w:t>
      </w:r>
      <w:r>
        <w:rPr>
          <w:bCs/>
        </w:rPr>
        <w:t>the instruments, we find that the presence of a</w:t>
      </w:r>
      <w:r w:rsidRPr="00A32294">
        <w:rPr>
          <w:bCs/>
        </w:rPr>
        <w:t xml:space="preserve"> CRO</w:t>
      </w:r>
      <w:r w:rsidRPr="002A4383">
        <w:rPr>
          <w:bCs/>
        </w:rPr>
        <w:t xml:space="preserve"> is </w:t>
      </w:r>
      <w:r>
        <w:rPr>
          <w:bCs/>
        </w:rPr>
        <w:t xml:space="preserve">still </w:t>
      </w:r>
      <w:r w:rsidRPr="002A4383">
        <w:rPr>
          <w:bCs/>
        </w:rPr>
        <w:t xml:space="preserve">associated with </w:t>
      </w:r>
      <w:r>
        <w:rPr>
          <w:bCs/>
        </w:rPr>
        <w:t xml:space="preserve">greater holdings of over-the-counter options, swaps, and credit derivatives. </w:t>
      </w:r>
    </w:p>
    <w:p w14:paraId="2CE40D54" w14:textId="77777777" w:rsidR="00420ABF" w:rsidRDefault="00420ABF" w:rsidP="00622847">
      <w:pPr>
        <w:spacing w:line="480" w:lineRule="auto"/>
        <w:ind w:firstLine="720"/>
        <w:rPr>
          <w:bCs/>
        </w:rPr>
      </w:pPr>
    </w:p>
    <w:p w14:paraId="06FBD820" w14:textId="1099F5CB" w:rsidR="00420ABF" w:rsidRPr="00426A1B" w:rsidRDefault="00420ABF" w:rsidP="00622847">
      <w:pPr>
        <w:spacing w:line="480" w:lineRule="auto"/>
        <w:rPr>
          <w:b/>
          <w:bCs/>
        </w:rPr>
      </w:pPr>
      <w:r>
        <w:rPr>
          <w:b/>
          <w:bCs/>
        </w:rPr>
        <w:t>How CEOs and Institutional Investors Shape Derivatives Activity</w:t>
      </w:r>
    </w:p>
    <w:p w14:paraId="069F0005" w14:textId="7133DB19" w:rsidR="00420ABF" w:rsidRDefault="00420ABF" w:rsidP="00622847">
      <w:pPr>
        <w:spacing w:line="480" w:lineRule="auto"/>
        <w:ind w:firstLine="720"/>
      </w:pPr>
      <w:r w:rsidRPr="00B27C8A">
        <w:t>In Tables 5 through 7, we explore how CEO and institutional investor interests i</w:t>
      </w:r>
      <w:r w:rsidR="00B47D63">
        <w:t xml:space="preserve">nfluence derivatives activity. </w:t>
      </w:r>
      <w:r>
        <w:t xml:space="preserve">We </w:t>
      </w:r>
      <w:r w:rsidR="00515BF6">
        <w:t>predicted</w:t>
      </w:r>
      <w:r>
        <w:t xml:space="preserve"> that CEOs compensated with upside</w:t>
      </w:r>
      <w:r w:rsidR="00B27BDF">
        <w:t>-driven</w:t>
      </w:r>
      <w:r>
        <w:t xml:space="preserve"> performance pay, in the form of annual bonuse</w:t>
      </w:r>
      <w:r w:rsidR="00B47D63">
        <w:t>s, w</w:t>
      </w:r>
      <w:r w:rsidR="00515BF6">
        <w:t>ould</w:t>
      </w:r>
      <w:r w:rsidR="00B47D63">
        <w:t xml:space="preserve"> favor new derivatives. </w:t>
      </w:r>
      <w:r>
        <w:t xml:space="preserve">Results show that </w:t>
      </w:r>
      <w:r w:rsidR="00F641E2">
        <w:t xml:space="preserve">the ratio of bonus to salary compensation </w:t>
      </w:r>
      <w:r>
        <w:t xml:space="preserve">predicts all six forms of derivatives. </w:t>
      </w:r>
      <w:r w:rsidR="004D4341">
        <w:t>The effect of b</w:t>
      </w:r>
      <w:r>
        <w:t xml:space="preserve">onus pay does not </w:t>
      </w:r>
      <w:r w:rsidR="004D4341">
        <w:t>change</w:t>
      </w:r>
      <w:r>
        <w:t xml:space="preserve"> with CRO</w:t>
      </w:r>
      <w:r w:rsidR="00DC6400">
        <w:t xml:space="preserve"> </w:t>
      </w:r>
      <w:r w:rsidR="003F2341">
        <w:t>presence</w:t>
      </w:r>
      <w:r>
        <w:t xml:space="preserve">, </w:t>
      </w:r>
      <w:r w:rsidR="005C310D">
        <w:t xml:space="preserve">which </w:t>
      </w:r>
      <w:r>
        <w:t>suggest</w:t>
      </w:r>
      <w:r w:rsidR="005C310D">
        <w:t>s</w:t>
      </w:r>
      <w:r>
        <w:t xml:space="preserve"> that CEOs dependent on perfo</w:t>
      </w:r>
      <w:r w:rsidR="00165846">
        <w:t>rmance pay boost derivatives holdings</w:t>
      </w:r>
      <w:r>
        <w:t xml:space="preserve"> whether or not they have CROs.  </w:t>
      </w:r>
    </w:p>
    <w:p w14:paraId="1CD082BB" w14:textId="467798B7" w:rsidR="00420ABF" w:rsidRPr="005770D9" w:rsidRDefault="00420ABF" w:rsidP="00622847">
      <w:pPr>
        <w:spacing w:line="480" w:lineRule="auto"/>
        <w:ind w:firstLine="720"/>
        <w:rPr>
          <w:b/>
        </w:rPr>
      </w:pPr>
      <w:r>
        <w:t xml:space="preserve">Yet </w:t>
      </w:r>
      <w:r w:rsidRPr="005770D9">
        <w:t>CEO sharehold</w:t>
      </w:r>
      <w:r>
        <w:t>ing</w:t>
      </w:r>
      <w:r w:rsidRPr="005770D9">
        <w:t xml:space="preserve"> and institutional blockhold</w:t>
      </w:r>
      <w:r>
        <w:t>ing</w:t>
      </w:r>
      <w:r w:rsidRPr="005770D9">
        <w:t xml:space="preserve"> restrict </w:t>
      </w:r>
      <w:r w:rsidR="00392703">
        <w:t xml:space="preserve">the </w:t>
      </w:r>
      <w:r w:rsidRPr="005770D9">
        <w:t>CRO</w:t>
      </w:r>
      <w:r w:rsidR="00392703">
        <w:t>’s</w:t>
      </w:r>
      <w:r w:rsidRPr="005770D9">
        <w:t xml:space="preserve"> promotion of new derivatives. Consistent with Hypotheses 4 and 6, we find that the interaction</w:t>
      </w:r>
      <w:r>
        <w:t>s</w:t>
      </w:r>
      <w:r w:rsidRPr="005770D9">
        <w:t xml:space="preserve"> </w:t>
      </w:r>
      <w:r>
        <w:t xml:space="preserve">of </w:t>
      </w:r>
      <w:r w:rsidRPr="005770D9">
        <w:t xml:space="preserve">CRO </w:t>
      </w:r>
      <w:r w:rsidR="007A018B">
        <w:t>prese</w:t>
      </w:r>
      <w:r w:rsidR="006B67E6">
        <w:t xml:space="preserve">nce </w:t>
      </w:r>
      <w:r>
        <w:t xml:space="preserve">with </w:t>
      </w:r>
      <w:r w:rsidR="003F2341">
        <w:t xml:space="preserve">(a) </w:t>
      </w:r>
      <w:r w:rsidR="006A7394">
        <w:t xml:space="preserve">CEO equity </w:t>
      </w:r>
      <w:r>
        <w:t xml:space="preserve">and </w:t>
      </w:r>
      <w:r w:rsidR="003F2341">
        <w:t xml:space="preserve">(b) </w:t>
      </w:r>
      <w:r w:rsidR="006A7394">
        <w:t xml:space="preserve">institutional blockholding </w:t>
      </w:r>
      <w:r>
        <w:t>are negative</w:t>
      </w:r>
      <w:r w:rsidR="00201AA0">
        <w:t xml:space="preserve"> and significant</w:t>
      </w:r>
      <w:r>
        <w:t xml:space="preserve">. </w:t>
      </w:r>
    </w:p>
    <w:p w14:paraId="0633FB48" w14:textId="57FE930D" w:rsidR="00420ABF" w:rsidRPr="00CD34AE" w:rsidRDefault="00420ABF" w:rsidP="00622847">
      <w:pPr>
        <w:spacing w:line="480" w:lineRule="auto"/>
        <w:ind w:firstLine="720"/>
        <w:rPr>
          <w:b/>
        </w:rPr>
      </w:pPr>
      <w:r w:rsidRPr="00CD34AE">
        <w:t xml:space="preserve">In short, when top executives have an interest in boosting short-term returns, they are more likely to </w:t>
      </w:r>
      <w:r>
        <w:t>favor new derivatives</w:t>
      </w:r>
      <w:r w:rsidRPr="00CD34AE">
        <w:t xml:space="preserve">. </w:t>
      </w:r>
      <w:r>
        <w:t>W</w:t>
      </w:r>
      <w:r w:rsidRPr="00CD34AE">
        <w:t xml:space="preserve">hen CEOs and </w:t>
      </w:r>
      <w:r w:rsidR="00451223">
        <w:t>institutional</w:t>
      </w:r>
      <w:r w:rsidR="006A7394">
        <w:t xml:space="preserve"> </w:t>
      </w:r>
      <w:r w:rsidRPr="00CD34AE">
        <w:t xml:space="preserve">investors have an interest in </w:t>
      </w:r>
      <w:r>
        <w:lastRenderedPageBreak/>
        <w:t>limiting</w:t>
      </w:r>
      <w:r w:rsidRPr="00CD34AE">
        <w:t xml:space="preserve"> risk, as when they hold large and illiquid ownership stakes, they restrain </w:t>
      </w:r>
      <w:r w:rsidR="00CE762D">
        <w:t xml:space="preserve">the </w:t>
      </w:r>
      <w:r w:rsidR="003F2341">
        <w:t>CRO</w:t>
      </w:r>
      <w:r w:rsidR="00CE762D">
        <w:t>’s</w:t>
      </w:r>
      <w:r w:rsidR="003F2341">
        <w:t xml:space="preserve"> </w:t>
      </w:r>
      <w:r w:rsidRPr="00CD34AE">
        <w:t xml:space="preserve">promotion of </w:t>
      </w:r>
      <w:r w:rsidR="003F2341">
        <w:t>derivatives</w:t>
      </w:r>
      <w:r w:rsidR="00451223">
        <w:t xml:space="preserve"> known to boost risk</w:t>
      </w:r>
      <w:r>
        <w:t xml:space="preserve">. </w:t>
      </w:r>
    </w:p>
    <w:p w14:paraId="133BA73D" w14:textId="77777777" w:rsidR="00420ABF" w:rsidRDefault="00420ABF" w:rsidP="00622847">
      <w:pPr>
        <w:spacing w:line="480" w:lineRule="auto"/>
        <w:rPr>
          <w:b/>
        </w:rPr>
      </w:pPr>
    </w:p>
    <w:p w14:paraId="7132E9F0" w14:textId="7D772683" w:rsidR="00420ABF" w:rsidRPr="00150C26" w:rsidRDefault="00420ABF" w:rsidP="00622847">
      <w:pPr>
        <w:spacing w:line="480" w:lineRule="auto"/>
        <w:rPr>
          <w:b/>
        </w:rPr>
      </w:pPr>
      <w:r w:rsidRPr="00150C26">
        <w:rPr>
          <w:b/>
        </w:rPr>
        <w:t>Robustness Checks</w:t>
      </w:r>
    </w:p>
    <w:p w14:paraId="0E87BA56" w14:textId="6EDED529" w:rsidR="00420ABF" w:rsidRDefault="00420ABF" w:rsidP="00622847">
      <w:pPr>
        <w:spacing w:line="480" w:lineRule="auto"/>
        <w:ind w:firstLine="720"/>
      </w:pPr>
      <w:r>
        <w:t xml:space="preserve">We </w:t>
      </w:r>
      <w:r w:rsidRPr="00AA5D42">
        <w:t xml:space="preserve">evaluate the robustness of the findings to </w:t>
      </w:r>
      <w:r>
        <w:t>the exclusion of large banks and to variation in CRO background.</w:t>
      </w:r>
    </w:p>
    <w:p w14:paraId="0804377C" w14:textId="56EACA5A" w:rsidR="00420ABF" w:rsidRDefault="00420ABF" w:rsidP="00622847">
      <w:pPr>
        <w:spacing w:line="480" w:lineRule="auto"/>
        <w:ind w:firstLine="720"/>
      </w:pPr>
      <w:proofErr w:type="gramStart"/>
      <w:r>
        <w:rPr>
          <w:i/>
        </w:rPr>
        <w:t>Dealer banks and too-big-to-fail banks.</w:t>
      </w:r>
      <w:proofErr w:type="gramEnd"/>
      <w:r>
        <w:rPr>
          <w:i/>
        </w:rPr>
        <w:t xml:space="preserve"> </w:t>
      </w:r>
      <w:r>
        <w:t xml:space="preserve">We explore the possibility that </w:t>
      </w:r>
      <w:r w:rsidR="0024238F">
        <w:t xml:space="preserve">the activities of </w:t>
      </w:r>
      <w:r w:rsidR="00E06528">
        <w:t xml:space="preserve">very large </w:t>
      </w:r>
      <w:r>
        <w:t>banks are driving the results, fo</w:t>
      </w:r>
      <w:r w:rsidR="00B47D63">
        <w:t xml:space="preserve">r one of two possible reasons. </w:t>
      </w:r>
      <w:r>
        <w:t xml:space="preserve">First, big banks can </w:t>
      </w:r>
      <w:r w:rsidRPr="004D5402">
        <w:t xml:space="preserve">act </w:t>
      </w:r>
      <w:r>
        <w:t xml:space="preserve">both </w:t>
      </w:r>
      <w:r w:rsidRPr="004D5402">
        <w:t xml:space="preserve">as </w:t>
      </w:r>
      <w:r w:rsidRPr="004D5402">
        <w:rPr>
          <w:i/>
        </w:rPr>
        <w:t>derivatives</w:t>
      </w:r>
      <w:r w:rsidRPr="004D5402">
        <w:t xml:space="preserve"> </w:t>
      </w:r>
      <w:r w:rsidRPr="004D5402">
        <w:rPr>
          <w:i/>
        </w:rPr>
        <w:t xml:space="preserve">dealers </w:t>
      </w:r>
      <w:r w:rsidRPr="004D5402">
        <w:t>(making markets for these financial instruments)</w:t>
      </w:r>
      <w:r>
        <w:t xml:space="preserve"> </w:t>
      </w:r>
      <w:r w:rsidR="004B5BC0">
        <w:t>and</w:t>
      </w:r>
      <w:r>
        <w:t xml:space="preserve"> as</w:t>
      </w:r>
      <w:r w:rsidRPr="004D5402">
        <w:t xml:space="preserve"> </w:t>
      </w:r>
      <w:r w:rsidRPr="004D5402">
        <w:rPr>
          <w:i/>
        </w:rPr>
        <w:t>derivatives end-users</w:t>
      </w:r>
      <w:r w:rsidRPr="004D5402">
        <w:t xml:space="preserve">. </w:t>
      </w:r>
      <w:r>
        <w:t xml:space="preserve">We have focused on how </w:t>
      </w:r>
      <w:r w:rsidRPr="00B27AAE">
        <w:t xml:space="preserve">CROs </w:t>
      </w:r>
      <w:r w:rsidR="00B47D63">
        <w:t>shape end-user activity</w:t>
      </w:r>
      <w:r w:rsidR="00296C04">
        <w:t>; however,</w:t>
      </w:r>
      <w:r>
        <w:t xml:space="preserve"> it is possible that </w:t>
      </w:r>
      <w:r w:rsidR="00B47D63">
        <w:t xml:space="preserve">the </w:t>
      </w:r>
      <w:r w:rsidRPr="00B27AAE">
        <w:t>CRO’s effect</w:t>
      </w:r>
      <w:r>
        <w:t xml:space="preserve"> on dealer activities drives the </w:t>
      </w:r>
      <w:r w:rsidR="00B47D63">
        <w:t>reported results. To account for this</w:t>
      </w:r>
      <w:r w:rsidR="00B47D63" w:rsidRPr="00B27AAE">
        <w:t xml:space="preserve"> possibility</w:t>
      </w:r>
      <w:r w:rsidR="00B47D63">
        <w:t>,</w:t>
      </w:r>
      <w:r w:rsidR="00B47D63" w:rsidRPr="00B27AAE">
        <w:t xml:space="preserve"> </w:t>
      </w:r>
      <w:r>
        <w:t>we re-ran all models excluding dealer banks</w:t>
      </w:r>
      <w:r w:rsidR="004B5BC0">
        <w:t xml:space="preserve">, as described below.  </w:t>
      </w:r>
    </w:p>
    <w:p w14:paraId="24D1330A" w14:textId="05471FB3" w:rsidR="00420ABF" w:rsidRDefault="00420ABF" w:rsidP="00622847">
      <w:pPr>
        <w:spacing w:line="480" w:lineRule="auto"/>
        <w:ind w:firstLine="720"/>
      </w:pPr>
      <w:r>
        <w:t>Second, systemically important banks may take outsize risks in the belief that the government has insured them against failure, and may also be more likely to appoint CRO</w:t>
      </w:r>
      <w:r w:rsidR="00A915FE">
        <w:t>s because of their visibility</w:t>
      </w:r>
      <w:r w:rsidR="00503DA3">
        <w:t xml:space="preserve"> to regulators and the public</w:t>
      </w:r>
      <w:r w:rsidR="00A915FE">
        <w:t xml:space="preserve">. </w:t>
      </w:r>
      <w:r w:rsidR="00C8091E">
        <w:t xml:space="preserve">We </w:t>
      </w:r>
      <w:r>
        <w:t xml:space="preserve">control for bank size, </w:t>
      </w:r>
      <w:r w:rsidR="00C8091E">
        <w:t xml:space="preserve">but </w:t>
      </w:r>
      <w:r>
        <w:t xml:space="preserve">a continuous size variable cannot </w:t>
      </w:r>
      <w:r w:rsidR="00D24F0C">
        <w:t xml:space="preserve">exclude </w:t>
      </w:r>
      <w:r>
        <w:t xml:space="preserve">the possibility that </w:t>
      </w:r>
      <w:r w:rsidR="00073D81">
        <w:t xml:space="preserve">the activities of </w:t>
      </w:r>
      <w:r>
        <w:t xml:space="preserve">a small group of extremely </w:t>
      </w:r>
      <w:r w:rsidR="00A915FE">
        <w:t xml:space="preserve">large banks </w:t>
      </w:r>
      <w:r w:rsidR="00073D81">
        <w:t xml:space="preserve">drive the </w:t>
      </w:r>
      <w:r w:rsidR="00A915FE">
        <w:t>CRO effect for derivatives.</w:t>
      </w:r>
    </w:p>
    <w:p w14:paraId="089FD9CF" w14:textId="1923619F" w:rsidR="00420ABF" w:rsidRDefault="00420ABF" w:rsidP="00622847">
      <w:pPr>
        <w:spacing w:line="480" w:lineRule="auto"/>
        <w:ind w:firstLine="720"/>
      </w:pPr>
      <w:r>
        <w:t xml:space="preserve">To account for both of these possibilities - that the CRO-derivatives findings are driven by the actions of dealer banks, </w:t>
      </w:r>
      <w:r w:rsidR="004B5BC0">
        <w:t xml:space="preserve">and that they are </w:t>
      </w:r>
      <w:r>
        <w:t xml:space="preserve">an artifact of risk-seeking by too-big-to-fail banks - we re-ran models after excluding the twenty largest banks as of </w:t>
      </w:r>
      <w:r w:rsidR="007D3A01">
        <w:t xml:space="preserve">December 31, </w:t>
      </w:r>
      <w:r w:rsidR="00197558">
        <w:t xml:space="preserve">2004. </w:t>
      </w:r>
      <w:r>
        <w:t>This group includes all banks ever deemed too</w:t>
      </w:r>
      <w:r w:rsidR="00D648E9">
        <w:t>-</w:t>
      </w:r>
      <w:r>
        <w:t>big</w:t>
      </w:r>
      <w:r w:rsidR="00D648E9">
        <w:t>-</w:t>
      </w:r>
      <w:r>
        <w:t>to</w:t>
      </w:r>
      <w:r w:rsidR="00D648E9">
        <w:t>-</w:t>
      </w:r>
      <w:r w:rsidRPr="008E5A74">
        <w:t>fail</w:t>
      </w:r>
      <w:r w:rsidR="00D648E9" w:rsidRPr="008E5A74">
        <w:t xml:space="preserve"> (</w:t>
      </w:r>
      <w:r w:rsidR="006A1D0F" w:rsidRPr="008E5A74">
        <w:t>Brewer and Jagtiani 2007</w:t>
      </w:r>
      <w:r w:rsidR="00D648E9" w:rsidRPr="008E5A74">
        <w:t>)</w:t>
      </w:r>
      <w:r w:rsidR="00197558" w:rsidRPr="008E5A74">
        <w:t xml:space="preserve">. </w:t>
      </w:r>
      <w:r w:rsidRPr="008E5A74">
        <w:t xml:space="preserve">It </w:t>
      </w:r>
      <w:r w:rsidR="008B2261" w:rsidRPr="008E5A74">
        <w:t>also</w:t>
      </w:r>
      <w:r w:rsidR="008B2261">
        <w:t xml:space="preserve"> </w:t>
      </w:r>
      <w:r>
        <w:t xml:space="preserve">covers all significant dealer banks, because only a handful of banks had the capacity </w:t>
      </w:r>
      <w:r w:rsidRPr="00B27AAE">
        <w:t xml:space="preserve">to act as dealers </w:t>
      </w:r>
      <w:r>
        <w:t xml:space="preserve">in </w:t>
      </w:r>
      <w:r w:rsidR="00197558">
        <w:t>markets for new derivatives</w:t>
      </w:r>
      <w:r w:rsidR="008C1F3A">
        <w:t xml:space="preserve"> (</w:t>
      </w:r>
      <w:r w:rsidR="008C1F3A" w:rsidRPr="00260DD1">
        <w:t>Carter and Sinkey 1998)</w:t>
      </w:r>
      <w:r w:rsidR="00197558" w:rsidRPr="00260DD1">
        <w:t>. F</w:t>
      </w:r>
      <w:r w:rsidRPr="00260DD1">
        <w:t xml:space="preserve">ive dealer banks controlled 97% of the </w:t>
      </w:r>
      <w:r w:rsidRPr="00260DD1">
        <w:lastRenderedPageBreak/>
        <w:t xml:space="preserve">market in OTC derivatives in </w:t>
      </w:r>
      <w:r w:rsidR="00177A1B" w:rsidRPr="00260DD1">
        <w:t>2007 (Comptroller of the Currency 2007</w:t>
      </w:r>
      <w:r w:rsidRPr="00260DD1">
        <w:t>).</w:t>
      </w:r>
      <w:r w:rsidR="003E542B" w:rsidRPr="00260DD1">
        <w:rPr>
          <w:bCs/>
        </w:rPr>
        <w:t xml:space="preserve"> </w:t>
      </w:r>
      <w:r w:rsidRPr="00260DD1">
        <w:t>All key findings</w:t>
      </w:r>
      <w:r>
        <w:t xml:space="preserve"> hold </w:t>
      </w:r>
      <w:r w:rsidR="00FF44AF">
        <w:t xml:space="preserve">even after excluding the </w:t>
      </w:r>
      <w:r w:rsidR="00197558">
        <w:t>20 largest banks</w:t>
      </w:r>
      <w:r w:rsidR="00FC2836">
        <w:t>, which</w:t>
      </w:r>
      <w:r>
        <w:t xml:space="preserve"> suggests that neither dealer banks nor too-big-to-fail banks </w:t>
      </w:r>
      <w:r w:rsidR="00FB0D96">
        <w:t xml:space="preserve">drive </w:t>
      </w:r>
      <w:r>
        <w:t xml:space="preserve">the results. </w:t>
      </w:r>
    </w:p>
    <w:p w14:paraId="40DCC2B7" w14:textId="30605BDB" w:rsidR="008F1033" w:rsidRPr="00C51288" w:rsidRDefault="00420ABF" w:rsidP="00622847">
      <w:pPr>
        <w:spacing w:line="480" w:lineRule="auto"/>
        <w:ind w:firstLine="720"/>
        <w:rPr>
          <w:i/>
        </w:rPr>
      </w:pPr>
      <w:r w:rsidRPr="00197558">
        <w:rPr>
          <w:i/>
        </w:rPr>
        <w:t xml:space="preserve">CRO background. </w:t>
      </w:r>
      <w:r w:rsidRPr="00080D5F">
        <w:t xml:space="preserve">While we tested whether CEO risk appetite affected the appointment of CROs, finding that it did not, CEOs may have appointed different kinds of CROs </w:t>
      </w:r>
      <w:r w:rsidR="00795AD0">
        <w:t xml:space="preserve">to suit </w:t>
      </w:r>
      <w:r w:rsidR="00197558" w:rsidRPr="00080D5F">
        <w:t xml:space="preserve">their preferences. </w:t>
      </w:r>
      <w:r w:rsidR="00D64240">
        <w:t xml:space="preserve">Perhaps </w:t>
      </w:r>
      <w:r w:rsidRPr="00080D5F">
        <w:t xml:space="preserve">CEOs seeking to use risk managers to justify increasing exposure to high-risk/high-reward derivatives </w:t>
      </w:r>
      <w:r w:rsidR="00D64240">
        <w:t xml:space="preserve">were </w:t>
      </w:r>
      <w:r w:rsidRPr="00080D5F">
        <w:t>more likely to appoint company insiders, wh</w:t>
      </w:r>
      <w:r w:rsidR="00197558" w:rsidRPr="00197558">
        <w:t xml:space="preserve">o would follow their dictates. </w:t>
      </w:r>
      <w:r w:rsidRPr="00080D5F">
        <w:t>Or they may have been more likely to appoint</w:t>
      </w:r>
      <w:r w:rsidR="004D4341">
        <w:t xml:space="preserve"> experts </w:t>
      </w:r>
      <w:r w:rsidR="005A5D20">
        <w:t>with backgrounds in credit risk</w:t>
      </w:r>
      <w:r w:rsidR="004D4341">
        <w:t xml:space="preserve"> management</w:t>
      </w:r>
      <w:r w:rsidR="005D45E9" w:rsidRPr="005D45E9">
        <w:t>, who were already familiar with the use of portfolio management techniques to maximize risk-adjusted returns</w:t>
      </w:r>
      <w:r w:rsidR="00197558" w:rsidRPr="005D45E9">
        <w:t>.</w:t>
      </w:r>
      <w:r w:rsidR="00197558" w:rsidRPr="00197558">
        <w:t xml:space="preserve"> </w:t>
      </w:r>
      <w:r w:rsidRPr="00080D5F">
        <w:t xml:space="preserve">If CEOs were cherry picking risk-seeking risk managers, then we would expect insider </w:t>
      </w:r>
      <w:r w:rsidRPr="004D6167">
        <w:t>CROs (</w:t>
      </w:r>
      <w:r w:rsidRPr="007E4D03">
        <w:t>70%</w:t>
      </w:r>
      <w:r w:rsidR="00197558" w:rsidRPr="004D6167">
        <w:t xml:space="preserve"> of the sample</w:t>
      </w:r>
      <w:r w:rsidR="0068143D">
        <w:t xml:space="preserve">) </w:t>
      </w:r>
      <w:r w:rsidRPr="004D6167">
        <w:t xml:space="preserve">and </w:t>
      </w:r>
      <w:r w:rsidR="00F60646">
        <w:t xml:space="preserve">credit risk experts </w:t>
      </w:r>
      <w:r w:rsidRPr="004D6167">
        <w:t xml:space="preserve">(also </w:t>
      </w:r>
      <w:r w:rsidRPr="007E4D03">
        <w:t>70%</w:t>
      </w:r>
      <w:r w:rsidR="00197558" w:rsidRPr="004D6167">
        <w:t xml:space="preserve"> of the sample</w:t>
      </w:r>
      <w:r w:rsidR="0068143D">
        <w:t>)</w:t>
      </w:r>
      <w:r w:rsidRPr="004D6167">
        <w:t xml:space="preserve"> to have had particularly strong</w:t>
      </w:r>
      <w:r w:rsidR="00950229" w:rsidRPr="004D6167">
        <w:t xml:space="preserve"> effects on derivatives usage. </w:t>
      </w:r>
      <w:r w:rsidRPr="004D6167">
        <w:t>Instead, we find that internal CROs did not behave differently</w:t>
      </w:r>
      <w:r w:rsidRPr="00080D5F">
        <w:t xml:space="preserve"> from external CROs, and that </w:t>
      </w:r>
      <w:r w:rsidR="00F2288F">
        <w:t xml:space="preserve">CROs with backgrounds in credit risk management </w:t>
      </w:r>
      <w:r w:rsidRPr="00080D5F">
        <w:t>did not behave differently from those from other backgrounds.</w:t>
      </w:r>
    </w:p>
    <w:p w14:paraId="72DE43EA" w14:textId="77777777" w:rsidR="00420ABF" w:rsidRDefault="00420ABF" w:rsidP="00622847">
      <w:pPr>
        <w:spacing w:line="480" w:lineRule="auto"/>
        <w:rPr>
          <w:highlight w:val="yellow"/>
        </w:rPr>
      </w:pPr>
    </w:p>
    <w:p w14:paraId="1F8B6641" w14:textId="5F0D7184" w:rsidR="008E11F8" w:rsidRPr="00D016BB" w:rsidRDefault="00DF09D3" w:rsidP="00D016BB">
      <w:pPr>
        <w:spacing w:line="480" w:lineRule="auto"/>
        <w:rPr>
          <w:b/>
        </w:rPr>
      </w:pPr>
      <w:r>
        <w:rPr>
          <w:b/>
        </w:rPr>
        <w:t>CONCLUSION</w:t>
      </w:r>
    </w:p>
    <w:p w14:paraId="7AFA65F3" w14:textId="35226352" w:rsidR="00DF09D3" w:rsidRPr="009F1479" w:rsidRDefault="00DF09D3" w:rsidP="00622847">
      <w:pPr>
        <w:spacing w:line="480" w:lineRule="auto"/>
        <w:ind w:firstLine="720"/>
      </w:pPr>
      <w:r w:rsidRPr="00896E67">
        <w:t xml:space="preserve">Many American banks </w:t>
      </w:r>
      <w:r w:rsidR="009F1479">
        <w:t xml:space="preserve">came to rely heavily on </w:t>
      </w:r>
      <w:r w:rsidRPr="00896E67">
        <w:t>new</w:t>
      </w:r>
      <w:r w:rsidR="008E11F8">
        <w:t xml:space="preserve"> </w:t>
      </w:r>
      <w:r w:rsidRPr="00896E67">
        <w:t>derivatives</w:t>
      </w:r>
      <w:r w:rsidR="00DA1A63">
        <w:t>,</w:t>
      </w:r>
      <w:r w:rsidRPr="00896E67">
        <w:t xml:space="preserve"> </w:t>
      </w:r>
      <w:r w:rsidR="008E11F8">
        <w:t>such as credit-default swaps and synthetic CDOs</w:t>
      </w:r>
      <w:r w:rsidR="00DA1A63">
        <w:t>,</w:t>
      </w:r>
      <w:r w:rsidR="008E11F8">
        <w:t xml:space="preserve"> </w:t>
      </w:r>
      <w:r w:rsidR="00DA1A63">
        <w:t>in the years leading to the Great Recession</w:t>
      </w:r>
      <w:r w:rsidR="00D66AB5">
        <w:t xml:space="preserve">. That practice compounded the </w:t>
      </w:r>
      <w:r w:rsidR="00D66AB5" w:rsidRPr="009F1479">
        <w:t>consequences of the crisis that began in 2007</w:t>
      </w:r>
      <w:r w:rsidR="00DA1A63" w:rsidRPr="009F1479">
        <w:t xml:space="preserve"> by multiplying bank exposure to certain classes of investments</w:t>
      </w:r>
      <w:r w:rsidR="00D66AB5" w:rsidRPr="009F1479">
        <w:t xml:space="preserve"> (</w:t>
      </w:r>
      <w:r w:rsidR="00EC77B6" w:rsidRPr="009F1479">
        <w:t>Johnson and Kwak 2010; Nocera and McLean 2011</w:t>
      </w:r>
      <w:r w:rsidR="00965684" w:rsidRPr="009F1479">
        <w:t>)</w:t>
      </w:r>
      <w:r w:rsidR="00C611CE" w:rsidRPr="009F1479">
        <w:t>.</w:t>
      </w:r>
      <w:r w:rsidRPr="009F1479">
        <w:t xml:space="preserve"> </w:t>
      </w:r>
      <w:r w:rsidR="001C40CA" w:rsidRPr="009F1479">
        <w:t xml:space="preserve">When </w:t>
      </w:r>
      <w:r w:rsidR="009F1479" w:rsidRPr="009F1479">
        <w:t xml:space="preserve">the housing market </w:t>
      </w:r>
      <w:r w:rsidR="001C40CA" w:rsidRPr="009F1479">
        <w:t xml:space="preserve">collapsed, </w:t>
      </w:r>
      <w:r w:rsidR="00DA1A63" w:rsidRPr="009F1479">
        <w:t>many</w:t>
      </w:r>
      <w:r w:rsidR="001C40CA" w:rsidRPr="009F1479">
        <w:t xml:space="preserve"> banks </w:t>
      </w:r>
      <w:r w:rsidR="001F2A1C">
        <w:t xml:space="preserve">that had used derivatives to leverage investments in subprime mortgages </w:t>
      </w:r>
      <w:r w:rsidR="00D66AB5" w:rsidRPr="009F1479">
        <w:t>found themselves on the hook</w:t>
      </w:r>
      <w:r w:rsidR="00DA1A63" w:rsidRPr="009F1479">
        <w:t xml:space="preserve"> for much more than they had on hand.  </w:t>
      </w:r>
      <w:r w:rsidR="009466DE">
        <w:t>Meanwhile</w:t>
      </w:r>
      <w:r w:rsidR="00066144">
        <w:t>, l</w:t>
      </w:r>
      <w:r w:rsidRPr="009F1479">
        <w:t xml:space="preserve">enders </w:t>
      </w:r>
      <w:r w:rsidR="00F5671F">
        <w:t xml:space="preserve">that </w:t>
      </w:r>
      <w:r w:rsidRPr="00080D5F">
        <w:t xml:space="preserve">could not determine the extent of </w:t>
      </w:r>
      <w:r w:rsidR="008C439D" w:rsidRPr="00080D5F">
        <w:t xml:space="preserve">borrower </w:t>
      </w:r>
      <w:r w:rsidR="00D82332" w:rsidRPr="00080D5F">
        <w:t xml:space="preserve">exposure to </w:t>
      </w:r>
      <w:r w:rsidR="00D66AB5" w:rsidRPr="00080D5F">
        <w:t xml:space="preserve">bespoke </w:t>
      </w:r>
      <w:r w:rsidRPr="00080D5F">
        <w:lastRenderedPageBreak/>
        <w:t xml:space="preserve">derivatives </w:t>
      </w:r>
      <w:r w:rsidR="008C439D" w:rsidRPr="00080D5F">
        <w:t xml:space="preserve">that </w:t>
      </w:r>
      <w:r w:rsidR="00D66AB5" w:rsidRPr="00080D5F">
        <w:t xml:space="preserve">did not trade on formal exchanges, </w:t>
      </w:r>
      <w:r w:rsidR="00A562DF" w:rsidRPr="00080D5F">
        <w:t>or</w:t>
      </w:r>
      <w:r w:rsidR="002A073D">
        <w:t xml:space="preserve"> </w:t>
      </w:r>
      <w:r w:rsidR="002065EB">
        <w:t xml:space="preserve">borrower </w:t>
      </w:r>
      <w:r w:rsidR="00D66AB5" w:rsidRPr="00080D5F">
        <w:t xml:space="preserve">obligations to </w:t>
      </w:r>
      <w:r w:rsidR="00A562DF" w:rsidRPr="00080D5F">
        <w:t xml:space="preserve">particular counterparties, stopped </w:t>
      </w:r>
      <w:r w:rsidR="00A562DF" w:rsidRPr="0018563E">
        <w:t>lending</w:t>
      </w:r>
      <w:r w:rsidR="00066144" w:rsidRPr="0018563E">
        <w:t xml:space="preserve"> (</w:t>
      </w:r>
      <w:r w:rsidR="00807958" w:rsidRPr="0018563E">
        <w:t>Stiglitz 2009b</w:t>
      </w:r>
      <w:r w:rsidR="0042642A" w:rsidRPr="0018563E">
        <w:t xml:space="preserve">; </w:t>
      </w:r>
      <w:r w:rsidR="0042642A" w:rsidRPr="00080D5F">
        <w:t>Partnoy and Eisinger 2013</w:t>
      </w:r>
      <w:r w:rsidR="00066144">
        <w:t>)</w:t>
      </w:r>
      <w:r w:rsidR="00A562DF" w:rsidRPr="00080D5F">
        <w:t xml:space="preserve">. </w:t>
      </w:r>
      <w:r w:rsidR="00066144">
        <w:t>I</w:t>
      </w:r>
      <w:r w:rsidR="00A562DF" w:rsidRPr="00080D5F">
        <w:t xml:space="preserve">nvestors </w:t>
      </w:r>
      <w:r w:rsidR="002065EB">
        <w:t xml:space="preserve">that </w:t>
      </w:r>
      <w:r w:rsidRPr="00080D5F">
        <w:t xml:space="preserve">could not </w:t>
      </w:r>
      <w:r w:rsidR="00A562DF" w:rsidRPr="00080D5F">
        <w:t xml:space="preserve">easily </w:t>
      </w:r>
      <w:r w:rsidRPr="00080D5F">
        <w:t xml:space="preserve">assess the extent of </w:t>
      </w:r>
      <w:r w:rsidR="0068143D">
        <w:t xml:space="preserve">bank </w:t>
      </w:r>
      <w:r w:rsidR="002065EB">
        <w:t>derivatives exposure</w:t>
      </w:r>
      <w:r w:rsidR="00D66AB5" w:rsidRPr="00080D5F">
        <w:t xml:space="preserve"> </w:t>
      </w:r>
      <w:r w:rsidRPr="00080D5F">
        <w:t xml:space="preserve">declined to recapitalize troubled institutions (Greenburger 2010; </w:t>
      </w:r>
      <w:r w:rsidR="005214D0">
        <w:t>Bass</w:t>
      </w:r>
      <w:r w:rsidRPr="00080D5F">
        <w:t xml:space="preserve"> 2010). </w:t>
      </w:r>
      <w:r w:rsidR="00EB047C">
        <w:t>Thus b</w:t>
      </w:r>
      <w:r w:rsidR="004352F0">
        <w:t xml:space="preserve">ank exposure </w:t>
      </w:r>
      <w:r w:rsidR="00F3227E">
        <w:t xml:space="preserve">to new derivatives </w:t>
      </w:r>
      <w:r w:rsidR="004352F0">
        <w:t xml:space="preserve">helped to bring </w:t>
      </w:r>
      <w:r w:rsidRPr="00080D5F">
        <w:t>the financial s</w:t>
      </w:r>
      <w:r w:rsidR="00A562DF" w:rsidRPr="00080D5F">
        <w:t xml:space="preserve">ystem to the brink of collapse </w:t>
      </w:r>
      <w:r w:rsidRPr="00080D5F">
        <w:t>(Nocera 2010).</w:t>
      </w:r>
      <w:r w:rsidRPr="009F1479">
        <w:t xml:space="preserve"> </w:t>
      </w:r>
    </w:p>
    <w:p w14:paraId="351CF1DB" w14:textId="5A872908" w:rsidR="00327998" w:rsidRPr="00A70F52" w:rsidRDefault="00DF09D3" w:rsidP="00622847">
      <w:pPr>
        <w:spacing w:line="480" w:lineRule="auto"/>
        <w:ind w:firstLine="720"/>
        <w:rPr>
          <w:rFonts w:eastAsia="Times New Roman"/>
          <w:color w:val="222222"/>
          <w:highlight w:val="yellow"/>
          <w:shd w:val="clear" w:color="auto" w:fill="FFFFFF"/>
        </w:rPr>
      </w:pPr>
      <w:r w:rsidRPr="009F1479">
        <w:t>Econom</w:t>
      </w:r>
      <w:r w:rsidRPr="00CF4B3A">
        <w:t xml:space="preserve">ists, sociologists, and organizational theorists have </w:t>
      </w:r>
      <w:r w:rsidR="00F3234E">
        <w:t xml:space="preserve">tried to understand why banks </w:t>
      </w:r>
      <w:r w:rsidR="00F3234E" w:rsidRPr="00807958">
        <w:t>embraced</w:t>
      </w:r>
      <w:r w:rsidR="00795AD0" w:rsidRPr="00807958">
        <w:t xml:space="preserve"> </w:t>
      </w:r>
      <w:r w:rsidR="00795AD0" w:rsidRPr="00533532">
        <w:t>risky, illiquid, and</w:t>
      </w:r>
      <w:r w:rsidR="00F3234E">
        <w:t xml:space="preserve"> unproven </w:t>
      </w:r>
      <w:r>
        <w:t>financial instruments</w:t>
      </w:r>
      <w:r w:rsidR="008722A8">
        <w:t xml:space="preserve"> in the lead-up to the crisis</w:t>
      </w:r>
      <w:r w:rsidR="0018563E">
        <w:t xml:space="preserve">, and have highlighted </w:t>
      </w:r>
      <w:r w:rsidR="001E5ADA">
        <w:t>implicit government subsidies</w:t>
      </w:r>
      <w:r w:rsidRPr="00CF4B3A">
        <w:t xml:space="preserve">, </w:t>
      </w:r>
      <w:r w:rsidR="00F3234E">
        <w:t>organizational mimicry</w:t>
      </w:r>
      <w:r w:rsidRPr="00CF4B3A">
        <w:t xml:space="preserve">, </w:t>
      </w:r>
      <w:r w:rsidR="00795AD0">
        <w:t>sanguine</w:t>
      </w:r>
      <w:r w:rsidR="00F3234E">
        <w:t xml:space="preserve"> credit rating, imperfect risk modeling, </w:t>
      </w:r>
      <w:r w:rsidRPr="00CF4B3A">
        <w:t xml:space="preserve">and </w:t>
      </w:r>
      <w:r w:rsidR="00F3234E">
        <w:t>profligate mortgage</w:t>
      </w:r>
      <w:r w:rsidR="00CD57E2">
        <w:t xml:space="preserve"> lending</w:t>
      </w:r>
      <w:r w:rsidR="00F3234E">
        <w:t xml:space="preserve"> </w:t>
      </w:r>
      <w:r w:rsidR="00EB047C">
        <w:t xml:space="preserve">as potential causes </w:t>
      </w:r>
      <w:r w:rsidRPr="00CF4B3A">
        <w:t>(Stiglitz 2009</w:t>
      </w:r>
      <w:r w:rsidR="007B4ABE">
        <w:t>a</w:t>
      </w:r>
      <w:r w:rsidRPr="00CF4B3A">
        <w:t>; Dobbin and Jung</w:t>
      </w:r>
      <w:r w:rsidRPr="00314081">
        <w:t xml:space="preserve"> 2010; Pernell-Gallagher 2015; MacKenzie 2011; Fligstein and Goldstein </w:t>
      </w:r>
      <w:r w:rsidRPr="00B2455C">
        <w:t xml:space="preserve">2010). We augment </w:t>
      </w:r>
      <w:r w:rsidR="003143E8" w:rsidRPr="00B2455C">
        <w:t xml:space="preserve">these arguments by </w:t>
      </w:r>
      <w:r w:rsidR="00E211F0" w:rsidRPr="00B2455C">
        <w:t xml:space="preserve">calling attention to three additional factors: </w:t>
      </w:r>
      <w:r w:rsidR="00E211F0" w:rsidRPr="00B2455C">
        <w:rPr>
          <w:rFonts w:eastAsia="Times New Roman"/>
          <w:color w:val="222222"/>
          <w:shd w:val="clear" w:color="auto" w:fill="FFFFFF"/>
        </w:rPr>
        <w:t xml:space="preserve">the unintended consequences of </w:t>
      </w:r>
      <w:r w:rsidR="00534561">
        <w:rPr>
          <w:rFonts w:eastAsia="Times New Roman"/>
          <w:color w:val="222222"/>
          <w:shd w:val="clear" w:color="auto" w:fill="FFFFFF"/>
        </w:rPr>
        <w:t xml:space="preserve">the </w:t>
      </w:r>
      <w:r w:rsidR="00E211F0" w:rsidRPr="00B2455C">
        <w:rPr>
          <w:rFonts w:eastAsia="Times New Roman"/>
          <w:color w:val="222222"/>
          <w:shd w:val="clear" w:color="auto" w:fill="FFFFFF"/>
        </w:rPr>
        <w:t>regulatory changes of the early 2000s</w:t>
      </w:r>
      <w:r w:rsidR="00327998" w:rsidRPr="00B2455C">
        <w:rPr>
          <w:rFonts w:eastAsia="Times New Roman"/>
          <w:color w:val="222222"/>
          <w:shd w:val="clear" w:color="auto" w:fill="FFFFFF"/>
        </w:rPr>
        <w:t>;</w:t>
      </w:r>
      <w:r w:rsidR="00E211F0" w:rsidRPr="00B2455C">
        <w:rPr>
          <w:rFonts w:eastAsia="Times New Roman"/>
          <w:color w:val="222222"/>
          <w:shd w:val="clear" w:color="auto" w:fill="FFFFFF"/>
        </w:rPr>
        <w:t xml:space="preserve"> the effects of an ascend</w:t>
      </w:r>
      <w:r w:rsidR="007B4ABE" w:rsidRPr="00B2455C">
        <w:rPr>
          <w:rFonts w:eastAsia="Times New Roman"/>
          <w:color w:val="222222"/>
          <w:shd w:val="clear" w:color="auto" w:fill="FFFFFF"/>
        </w:rPr>
        <w:t>ant expert group within banks;</w:t>
      </w:r>
      <w:r w:rsidR="00E211F0" w:rsidRPr="00B2455C">
        <w:rPr>
          <w:rFonts w:eastAsia="Times New Roman"/>
          <w:color w:val="222222"/>
          <w:shd w:val="clear" w:color="auto" w:fill="FFFFFF"/>
        </w:rPr>
        <w:t xml:space="preserve"> and the interests of powerful CEOs </w:t>
      </w:r>
      <w:r w:rsidR="00B65170" w:rsidRPr="00B2455C">
        <w:rPr>
          <w:rFonts w:eastAsia="Times New Roman"/>
          <w:color w:val="222222"/>
          <w:shd w:val="clear" w:color="auto" w:fill="FFFFFF"/>
        </w:rPr>
        <w:t xml:space="preserve">and </w:t>
      </w:r>
      <w:r w:rsidR="00E211F0" w:rsidRPr="00B2455C">
        <w:rPr>
          <w:rFonts w:eastAsia="Times New Roman"/>
          <w:color w:val="222222"/>
          <w:shd w:val="clear" w:color="auto" w:fill="FFFFFF"/>
        </w:rPr>
        <w:t xml:space="preserve">fund managers in </w:t>
      </w:r>
      <w:r w:rsidR="004F67FA">
        <w:rPr>
          <w:rFonts w:eastAsia="Times New Roman"/>
          <w:color w:val="222222"/>
          <w:shd w:val="clear" w:color="auto" w:fill="FFFFFF"/>
        </w:rPr>
        <w:t>strategies to boost risk</w:t>
      </w:r>
      <w:r w:rsidR="00E211F0" w:rsidRPr="00B2455C">
        <w:rPr>
          <w:rFonts w:eastAsia="Times New Roman"/>
          <w:color w:val="222222"/>
          <w:shd w:val="clear" w:color="auto" w:fill="FFFFFF"/>
        </w:rPr>
        <w:t xml:space="preserve">. </w:t>
      </w:r>
    </w:p>
    <w:p w14:paraId="73261243" w14:textId="608AA5AB" w:rsidR="00DF09D3" w:rsidRPr="00E36DEB" w:rsidRDefault="00C234BE" w:rsidP="00622847">
      <w:pPr>
        <w:spacing w:line="480" w:lineRule="auto"/>
        <w:ind w:firstLine="720"/>
      </w:pPr>
      <w:r w:rsidRPr="009A7B32">
        <w:t>We argue that new r</w:t>
      </w:r>
      <w:r w:rsidR="00DA1293" w:rsidRPr="009A7B32">
        <w:t xml:space="preserve">egulations led banks to </w:t>
      </w:r>
      <w:r w:rsidRPr="009A7B32">
        <w:t xml:space="preserve">appoint </w:t>
      </w:r>
      <w:r w:rsidR="00DA1293" w:rsidRPr="009A7B32">
        <w:t>chief risk officers</w:t>
      </w:r>
      <w:r w:rsidR="00B2455C" w:rsidRPr="009A7B32">
        <w:t xml:space="preserve">, who </w:t>
      </w:r>
      <w:proofErr w:type="gramStart"/>
      <w:r w:rsidR="00B2455C" w:rsidRPr="009A7B32">
        <w:t xml:space="preserve">implemented </w:t>
      </w:r>
      <w:r w:rsidRPr="009A7B32">
        <w:t xml:space="preserve"> </w:t>
      </w:r>
      <w:r w:rsidR="00DA1293" w:rsidRPr="009A7B32">
        <w:t>a</w:t>
      </w:r>
      <w:proofErr w:type="gramEnd"/>
      <w:r w:rsidR="00DA1293" w:rsidRPr="009A7B32">
        <w:t xml:space="preserve"> model of risk management designed not to eliminate risk but to maximize returns.</w:t>
      </w:r>
      <w:r w:rsidR="00DA1293" w:rsidRPr="00B2455C">
        <w:t xml:space="preserve"> </w:t>
      </w:r>
      <w:r w:rsidR="00B65170" w:rsidRPr="00B2455C">
        <w:t xml:space="preserve">That model evolved from their experiences in the 1980s and </w:t>
      </w:r>
      <w:r w:rsidR="008B266A">
        <w:t xml:space="preserve">1990s. </w:t>
      </w:r>
      <w:r w:rsidRPr="00E36DEB">
        <w:t xml:space="preserve">Risk </w:t>
      </w:r>
      <w:r w:rsidR="0084104F">
        <w:t>specialists</w:t>
      </w:r>
      <w:r w:rsidRPr="00E36DEB">
        <w:t xml:space="preserve"> first gained traction </w:t>
      </w:r>
      <w:r w:rsidR="00B2455C" w:rsidRPr="00E36DEB">
        <w:t xml:space="preserve">with banks </w:t>
      </w:r>
      <w:r w:rsidRPr="00E36DEB">
        <w:t>i</w:t>
      </w:r>
      <w:r w:rsidR="003143E8" w:rsidRPr="00E36DEB">
        <w:t xml:space="preserve">n the 1980s, </w:t>
      </w:r>
      <w:r w:rsidRPr="00E36DEB">
        <w:t xml:space="preserve">when </w:t>
      </w:r>
      <w:r w:rsidR="009A7B32">
        <w:t xml:space="preserve">executives </w:t>
      </w:r>
      <w:r w:rsidRPr="00E36DEB">
        <w:t xml:space="preserve">sought </w:t>
      </w:r>
      <w:r w:rsidR="00B2455C" w:rsidRPr="00E36DEB">
        <w:t>their expertise to</w:t>
      </w:r>
      <w:r w:rsidRPr="00E36DEB">
        <w:t xml:space="preserve"> prevent </w:t>
      </w:r>
      <w:r w:rsidR="003143E8" w:rsidRPr="00E36DEB">
        <w:t>a replay of t</w:t>
      </w:r>
      <w:r w:rsidR="004E3438">
        <w:t>he</w:t>
      </w:r>
      <w:r w:rsidR="003143E8" w:rsidRPr="00E36DEB">
        <w:t xml:space="preserve"> </w:t>
      </w:r>
      <w:r w:rsidR="004E3438">
        <w:t xml:space="preserve">many </w:t>
      </w:r>
      <w:r w:rsidR="00B65170" w:rsidRPr="00E36DEB">
        <w:t>crise</w:t>
      </w:r>
      <w:r w:rsidR="003143E8" w:rsidRPr="00E36DEB">
        <w:t>s</w:t>
      </w:r>
      <w:r w:rsidR="004E3438">
        <w:t xml:space="preserve"> of that decade</w:t>
      </w:r>
      <w:r w:rsidR="00930A14" w:rsidRPr="00E36DEB">
        <w:t xml:space="preserve">. </w:t>
      </w:r>
      <w:r w:rsidR="00677361" w:rsidRPr="00E36DEB">
        <w:t xml:space="preserve">When those crises faded </w:t>
      </w:r>
      <w:r w:rsidR="008848A2" w:rsidRPr="00E36DEB">
        <w:t xml:space="preserve">from </w:t>
      </w:r>
      <w:r w:rsidR="00677361" w:rsidRPr="00E36DEB">
        <w:t>memory, risk</w:t>
      </w:r>
      <w:r w:rsidR="008848A2" w:rsidRPr="00E36DEB">
        <w:t xml:space="preserve"> managers</w:t>
      </w:r>
      <w:r w:rsidR="00677361" w:rsidRPr="00E36DEB">
        <w:t xml:space="preserve"> </w:t>
      </w:r>
      <w:r w:rsidR="00B65170" w:rsidRPr="00E36DEB">
        <w:t xml:space="preserve">argued that </w:t>
      </w:r>
      <w:r w:rsidR="009374EE" w:rsidRPr="00E36DEB">
        <w:t xml:space="preserve">they could help banks </w:t>
      </w:r>
      <w:r w:rsidR="008848A2" w:rsidRPr="00E36DEB">
        <w:t>enhance</w:t>
      </w:r>
      <w:r w:rsidR="009374EE" w:rsidRPr="00E36DEB">
        <w:t xml:space="preserve"> shareholder value by maxim</w:t>
      </w:r>
      <w:r w:rsidR="00930A14" w:rsidRPr="00E36DEB">
        <w:t xml:space="preserve">izing “risk-adjusted returns.” </w:t>
      </w:r>
      <w:r w:rsidR="00DA1293" w:rsidRPr="00E36DEB">
        <w:t xml:space="preserve">Pursuit of </w:t>
      </w:r>
      <w:r w:rsidR="00F834AB" w:rsidRPr="00E36DEB">
        <w:t>“risk-adjusted returns</w:t>
      </w:r>
      <w:r w:rsidR="00DA1293" w:rsidRPr="00E36DEB">
        <w:t>,</w:t>
      </w:r>
      <w:r w:rsidR="00F834AB" w:rsidRPr="00E36DEB">
        <w:t>”</w:t>
      </w:r>
      <w:r w:rsidR="00DA1293" w:rsidRPr="00E36DEB">
        <w:t xml:space="preserve"> we argue, led CROs to promote new derivatives. </w:t>
      </w:r>
    </w:p>
    <w:p w14:paraId="16978ACE" w14:textId="46C84BDB" w:rsidR="00DF09D3" w:rsidRPr="00080D5F" w:rsidRDefault="00DF09D3" w:rsidP="00622847">
      <w:pPr>
        <w:spacing w:line="480" w:lineRule="auto"/>
        <w:ind w:firstLine="720"/>
      </w:pPr>
      <w:r w:rsidRPr="00E36DEB">
        <w:t xml:space="preserve">We </w:t>
      </w:r>
      <w:r w:rsidR="00B72435">
        <w:t xml:space="preserve">also </w:t>
      </w:r>
      <w:r w:rsidRPr="00E36DEB">
        <w:t>argue</w:t>
      </w:r>
      <w:r w:rsidR="009374EE" w:rsidRPr="00E36DEB">
        <w:t xml:space="preserve"> that the interests of CEOs and </w:t>
      </w:r>
      <w:r w:rsidRPr="00E36DEB">
        <w:t>institutional investors</w:t>
      </w:r>
      <w:r w:rsidR="00BE5B70" w:rsidRPr="00E36DEB">
        <w:t xml:space="preserve">, determined by the structure of their compensation and </w:t>
      </w:r>
      <w:r w:rsidR="00B72435">
        <w:t>share</w:t>
      </w:r>
      <w:r w:rsidR="0084104F">
        <w:t>holding</w:t>
      </w:r>
      <w:r w:rsidR="00BE5B70" w:rsidRPr="00E36DEB">
        <w:t>,</w:t>
      </w:r>
      <w:r w:rsidRPr="00E36DEB">
        <w:t xml:space="preserve"> </w:t>
      </w:r>
      <w:r w:rsidR="006E7DF6" w:rsidRPr="00E36DEB">
        <w:t xml:space="preserve">shaped bank exposure to </w:t>
      </w:r>
      <w:r w:rsidR="009374EE" w:rsidRPr="00E36DEB">
        <w:t xml:space="preserve">these new </w:t>
      </w:r>
      <w:r w:rsidR="0084104F">
        <w:lastRenderedPageBreak/>
        <w:t xml:space="preserve">derivatives. </w:t>
      </w:r>
      <w:r w:rsidR="009374EE" w:rsidRPr="00E36DEB">
        <w:t xml:space="preserve">In banks that </w:t>
      </w:r>
      <w:r w:rsidR="00BE5B70" w:rsidRPr="00E36DEB">
        <w:t xml:space="preserve">relied on performance pay, </w:t>
      </w:r>
      <w:r w:rsidR="0054121F" w:rsidRPr="00E36DEB">
        <w:t>which rewarded</w:t>
      </w:r>
      <w:r w:rsidR="009374EE" w:rsidRPr="00E36DEB">
        <w:t xml:space="preserve"> </w:t>
      </w:r>
      <w:r w:rsidR="00BE5B70" w:rsidRPr="00E36DEB">
        <w:t xml:space="preserve">CEOs </w:t>
      </w:r>
      <w:r w:rsidR="009374EE" w:rsidRPr="00E36DEB">
        <w:t xml:space="preserve">for </w:t>
      </w:r>
      <w:r w:rsidR="00BE5B70" w:rsidRPr="00E36DEB">
        <w:t xml:space="preserve">share-price </w:t>
      </w:r>
      <w:r w:rsidR="009374EE" w:rsidRPr="00E36DEB">
        <w:t xml:space="preserve">gains without punishing them for losses, </w:t>
      </w:r>
      <w:r w:rsidR="00BA2ED8" w:rsidRPr="00E36DEB">
        <w:t xml:space="preserve">CEOs boosted exposure </w:t>
      </w:r>
      <w:r w:rsidR="00BE5B70" w:rsidRPr="00E36DEB">
        <w:t xml:space="preserve">to new derivatives </w:t>
      </w:r>
      <w:r w:rsidR="00BA2ED8" w:rsidRPr="00E36DEB">
        <w:t xml:space="preserve">and cheered CROs on. In banks where </w:t>
      </w:r>
      <w:r w:rsidR="006E130C" w:rsidRPr="00E36DEB">
        <w:t xml:space="preserve">they </w:t>
      </w:r>
      <w:r w:rsidR="00BE5B70" w:rsidRPr="00E36DEB">
        <w:t xml:space="preserve">held large illiquid </w:t>
      </w:r>
      <w:r w:rsidR="0084104F">
        <w:t xml:space="preserve">ownership </w:t>
      </w:r>
      <w:r w:rsidR="00BE5B70" w:rsidRPr="00E36DEB">
        <w:t xml:space="preserve">stakes, CEOs and fund managers </w:t>
      </w:r>
      <w:r w:rsidR="00B4046B" w:rsidRPr="00E36DEB">
        <w:t xml:space="preserve">alike </w:t>
      </w:r>
      <w:r w:rsidR="00BE5B70" w:rsidRPr="00E36DEB">
        <w:t xml:space="preserve">put the brakes on </w:t>
      </w:r>
      <w:r w:rsidR="0054121F" w:rsidRPr="00E36DEB">
        <w:t xml:space="preserve">the </w:t>
      </w:r>
      <w:r w:rsidR="00BA2ED8" w:rsidRPr="00E36DEB">
        <w:t>CRO</w:t>
      </w:r>
      <w:r w:rsidR="0054121F" w:rsidRPr="00E36DEB">
        <w:t>’s</w:t>
      </w:r>
      <w:r w:rsidR="00BA2ED8" w:rsidRPr="00E36DEB">
        <w:t xml:space="preserve"> promotion of new</w:t>
      </w:r>
      <w:r w:rsidR="0054121F" w:rsidRPr="00E36DEB">
        <w:t xml:space="preserve"> </w:t>
      </w:r>
      <w:r w:rsidR="00BA2ED8" w:rsidRPr="00E36DEB">
        <w:t xml:space="preserve">derivatives. </w:t>
      </w:r>
      <w:r w:rsidR="001F747D" w:rsidRPr="00E36DEB">
        <w:t>We describe the implications for theory and</w:t>
      </w:r>
      <w:r w:rsidRPr="00E36DEB">
        <w:t xml:space="preserve"> policy.</w:t>
      </w:r>
      <w:r>
        <w:t xml:space="preserve"> </w:t>
      </w:r>
    </w:p>
    <w:p w14:paraId="674669D8" w14:textId="77777777" w:rsidR="00DF09D3" w:rsidRDefault="00DF09D3" w:rsidP="00622847">
      <w:pPr>
        <w:spacing w:line="480" w:lineRule="auto"/>
      </w:pPr>
    </w:p>
    <w:p w14:paraId="274546D2" w14:textId="77777777" w:rsidR="0096287F" w:rsidRDefault="0031372D" w:rsidP="0096287F">
      <w:pPr>
        <w:spacing w:line="480" w:lineRule="auto"/>
        <w:rPr>
          <w:b/>
        </w:rPr>
      </w:pPr>
      <w:r>
        <w:rPr>
          <w:b/>
        </w:rPr>
        <w:t xml:space="preserve"> </w:t>
      </w:r>
      <w:r w:rsidRPr="00D42E19">
        <w:rPr>
          <w:b/>
        </w:rPr>
        <w:t>Compliance Experts’ Pre-existing Agendas</w:t>
      </w:r>
      <w:r w:rsidR="00DF09D3" w:rsidRPr="00080D5F">
        <w:rPr>
          <w:b/>
        </w:rPr>
        <w:t xml:space="preserve"> </w:t>
      </w:r>
    </w:p>
    <w:p w14:paraId="5E75F0B3" w14:textId="27BAC081" w:rsidR="00AB352C" w:rsidRPr="0096287F" w:rsidRDefault="006E130C" w:rsidP="0096287F">
      <w:pPr>
        <w:spacing w:line="480" w:lineRule="auto"/>
        <w:ind w:firstLine="720"/>
        <w:rPr>
          <w:b/>
        </w:rPr>
      </w:pPr>
      <w:r w:rsidRPr="00220E45">
        <w:t xml:space="preserve">Institutionalists have explained organizational compliance </w:t>
      </w:r>
      <w:r w:rsidR="006E7DF6" w:rsidRPr="00220E45">
        <w:t xml:space="preserve">strategies </w:t>
      </w:r>
      <w:r w:rsidRPr="00220E45">
        <w:t>by attending to the strategic behavior of expert groups. The experts who take charge of complying with new regulations often champion the cause</w:t>
      </w:r>
      <w:r w:rsidR="00573AB8" w:rsidRPr="00220E45">
        <w:t xml:space="preserve"> the law promotes</w:t>
      </w:r>
      <w:r w:rsidRPr="00220E45">
        <w:t xml:space="preserve">. </w:t>
      </w:r>
      <w:r w:rsidR="00B4046B" w:rsidRPr="00220E45">
        <w:t xml:space="preserve">Equal-opportunity experts </w:t>
      </w:r>
      <w:r w:rsidR="00AB352C" w:rsidRPr="00220E45">
        <w:t xml:space="preserve">managed Civil Rights Act compliance; </w:t>
      </w:r>
      <w:r w:rsidR="00573AB8" w:rsidRPr="00220E45">
        <w:t>e</w:t>
      </w:r>
      <w:r w:rsidR="00AB352C" w:rsidRPr="00220E45">
        <w:t xml:space="preserve">nvironmental engineers took charge of the Environmental Protection Act; tax accountants headed compliance with the Employee Retirement Income Security Act; safety engineers handled the Occupational Safety and Health Act (Dobbin and Sutton 1998; Jennings and Zandbergen 1995). </w:t>
      </w:r>
      <w:r w:rsidR="00B4046B" w:rsidRPr="00220E45">
        <w:t xml:space="preserve">In these cases, the group handling compliance had a professional </w:t>
      </w:r>
      <w:r w:rsidR="00C439BF">
        <w:t xml:space="preserve">commitment to </w:t>
      </w:r>
      <w:r w:rsidR="00D42E19">
        <w:t>promoting the same</w:t>
      </w:r>
      <w:r w:rsidR="00084A15" w:rsidRPr="00220E45">
        <w:t xml:space="preserve"> objectives</w:t>
      </w:r>
      <w:r w:rsidR="00D42E19">
        <w:t xml:space="preserve"> as regulators</w:t>
      </w:r>
      <w:r w:rsidR="00076330" w:rsidRPr="00220E45">
        <w:t>.</w:t>
      </w:r>
      <w:r w:rsidR="00076330" w:rsidRPr="00220E45" w:rsidDel="00076330">
        <w:t xml:space="preserve"> </w:t>
      </w:r>
      <w:r w:rsidR="00B4046B" w:rsidRPr="00220E45">
        <w:t xml:space="preserve"> </w:t>
      </w:r>
    </w:p>
    <w:p w14:paraId="7EC55CA1" w14:textId="2463F1BE" w:rsidR="00602ABE" w:rsidRPr="001B20FB" w:rsidRDefault="006A62AC" w:rsidP="00622847">
      <w:pPr>
        <w:spacing w:line="480" w:lineRule="auto"/>
        <w:ind w:firstLine="720"/>
      </w:pPr>
      <w:r w:rsidRPr="00D51528">
        <w:t>If t</w:t>
      </w:r>
      <w:r w:rsidR="00FA28F6" w:rsidRPr="00D51528">
        <w:t xml:space="preserve">he lesson from </w:t>
      </w:r>
      <w:r w:rsidRPr="00D51528">
        <w:t xml:space="preserve">previous </w:t>
      </w:r>
      <w:r w:rsidR="00FA28F6" w:rsidRPr="00D51528">
        <w:t>cases is that experts often promote elaborate compliance systems in pursuit of</w:t>
      </w:r>
      <w:r w:rsidR="00D10436" w:rsidRPr="00D51528">
        <w:t xml:space="preserve"> group advancement</w:t>
      </w:r>
      <w:r w:rsidRPr="00D51528">
        <w:t xml:space="preserve">, </w:t>
      </w:r>
      <w:r w:rsidR="003F47F8" w:rsidRPr="00D51528">
        <w:t>the lesson from our case is that a</w:t>
      </w:r>
      <w:r w:rsidR="00D42E19" w:rsidRPr="00D51528">
        <w:t xml:space="preserve">n expert group’s </w:t>
      </w:r>
      <w:r w:rsidR="001A05BB" w:rsidRPr="00D51528">
        <w:t xml:space="preserve">specific </w:t>
      </w:r>
      <w:r w:rsidRPr="00D51528">
        <w:t xml:space="preserve">goals shape </w:t>
      </w:r>
      <w:r w:rsidR="00E96BA4" w:rsidRPr="00D51528">
        <w:t xml:space="preserve">the </w:t>
      </w:r>
      <w:r w:rsidR="00BE3A96">
        <w:t>compliance strategies</w:t>
      </w:r>
      <w:r w:rsidR="00E96BA4" w:rsidRPr="00D51528">
        <w:t xml:space="preserve"> they promote</w:t>
      </w:r>
      <w:r w:rsidR="00076330" w:rsidRPr="00D51528">
        <w:t xml:space="preserve">. </w:t>
      </w:r>
      <w:r w:rsidR="003A63B6" w:rsidRPr="00D51528">
        <w:t>We suggest</w:t>
      </w:r>
      <w:r w:rsidR="003A63B6" w:rsidRPr="00220E45">
        <w:t xml:space="preserve"> that the broad mandates of law </w:t>
      </w:r>
      <w:r w:rsidR="003A63B6" w:rsidRPr="008A09E6">
        <w:t xml:space="preserve">are </w:t>
      </w:r>
      <w:r w:rsidR="001A05BB" w:rsidRPr="008A09E6">
        <w:t xml:space="preserve">often </w:t>
      </w:r>
      <w:r w:rsidR="003A63B6" w:rsidRPr="008A09E6">
        <w:t xml:space="preserve">open to interpretation, and that </w:t>
      </w:r>
      <w:r w:rsidR="00B75DA1" w:rsidRPr="008A09E6">
        <w:t>understanding</w:t>
      </w:r>
      <w:r w:rsidR="003A63B6" w:rsidRPr="008A09E6">
        <w:t xml:space="preserve"> </w:t>
      </w:r>
      <w:r w:rsidR="00E96BA4" w:rsidRPr="008A09E6">
        <w:t xml:space="preserve">the pre-existing agenda of experts </w:t>
      </w:r>
      <w:r w:rsidR="003A63B6" w:rsidRPr="001B20FB">
        <w:t>help</w:t>
      </w:r>
      <w:r w:rsidR="001A05BB" w:rsidRPr="001B20FB">
        <w:t>s</w:t>
      </w:r>
      <w:r w:rsidR="003A63B6" w:rsidRPr="001B20FB">
        <w:t xml:space="preserve"> us</w:t>
      </w:r>
      <w:r w:rsidR="001A05BB" w:rsidRPr="001B20FB">
        <w:t xml:space="preserve"> </w:t>
      </w:r>
      <w:r w:rsidR="003A63B6" w:rsidRPr="001B20FB">
        <w:t xml:space="preserve">understand </w:t>
      </w:r>
      <w:r w:rsidR="009D1D34" w:rsidRPr="001B20FB">
        <w:t>the form</w:t>
      </w:r>
      <w:r w:rsidR="00FF66C9" w:rsidRPr="001B20FB">
        <w:t xml:space="preserve"> </w:t>
      </w:r>
      <w:r w:rsidR="001A05BB" w:rsidRPr="001B20FB">
        <w:t>compliance</w:t>
      </w:r>
      <w:r w:rsidR="009D1D34" w:rsidRPr="001B20FB">
        <w:t xml:space="preserve"> takes</w:t>
      </w:r>
      <w:r w:rsidR="001A05BB" w:rsidRPr="001B20FB">
        <w:t>, and whether regulators’ goals are achie</w:t>
      </w:r>
      <w:r w:rsidR="00512256" w:rsidRPr="001B20FB">
        <w:t>ved.</w:t>
      </w:r>
    </w:p>
    <w:p w14:paraId="60D531F5" w14:textId="6C65752E" w:rsidR="00DF09D3" w:rsidRPr="008A09E6" w:rsidRDefault="00FA28F6" w:rsidP="00622847">
      <w:pPr>
        <w:spacing w:line="480" w:lineRule="auto"/>
        <w:ind w:firstLine="720"/>
      </w:pPr>
      <w:r w:rsidRPr="001B20FB">
        <w:t>In th</w:t>
      </w:r>
      <w:r w:rsidR="00DE5AEB" w:rsidRPr="001B20FB">
        <w:t>e</w:t>
      </w:r>
      <w:r w:rsidRPr="001B20FB">
        <w:t xml:space="preserve"> case</w:t>
      </w:r>
      <w:r w:rsidR="00DE5AEB" w:rsidRPr="001B20FB">
        <w:t xml:space="preserve"> we consider</w:t>
      </w:r>
      <w:r w:rsidR="003F41A4" w:rsidRPr="001B20FB">
        <w:t>,</w:t>
      </w:r>
      <w:r w:rsidR="001B20FB" w:rsidRPr="001B20FB">
        <w:t xml:space="preserve"> risk</w:t>
      </w:r>
      <w:r w:rsidR="001B20FB" w:rsidRPr="000F0383">
        <w:t xml:space="preserve"> experts and bank regulators sought the same broad objective: </w:t>
      </w:r>
      <w:r w:rsidR="001B20FB">
        <w:t xml:space="preserve">to encourage </w:t>
      </w:r>
      <w:r w:rsidR="001B20FB" w:rsidRPr="000F0383">
        <w:t xml:space="preserve">banks </w:t>
      </w:r>
      <w:r w:rsidR="001B20FB">
        <w:t xml:space="preserve">to </w:t>
      </w:r>
      <w:r w:rsidR="001B20FB" w:rsidRPr="000F0383">
        <w:t>develop more effective risk management systems. However, the</w:t>
      </w:r>
      <w:r w:rsidR="001B20FB">
        <w:t xml:space="preserve">y held different </w:t>
      </w:r>
      <w:r w:rsidR="001B20FB" w:rsidRPr="000F0383">
        <w:t xml:space="preserve">understandings of what </w:t>
      </w:r>
      <w:r w:rsidR="001B20FB">
        <w:t>“</w:t>
      </w:r>
      <w:r w:rsidR="001B20FB" w:rsidRPr="000F0383">
        <w:t>effective risk management</w:t>
      </w:r>
      <w:r w:rsidR="001B20FB">
        <w:t>”</w:t>
      </w:r>
      <w:r w:rsidR="001B20FB" w:rsidRPr="000F0383">
        <w:t xml:space="preserve"> entailed. While </w:t>
      </w:r>
      <w:r w:rsidR="001B20FB" w:rsidRPr="000F0383">
        <w:lastRenderedPageBreak/>
        <w:t>regulators</w:t>
      </w:r>
      <w:r w:rsidR="001B20FB" w:rsidRPr="008A09E6">
        <w:t xml:space="preserve"> </w:t>
      </w:r>
      <w:r w:rsidR="001B20FB">
        <w:t xml:space="preserve">sought to </w:t>
      </w:r>
      <w:r w:rsidR="001B20FB" w:rsidRPr="008A09E6">
        <w:t>minimiz</w:t>
      </w:r>
      <w:r w:rsidR="001B20FB">
        <w:t>e</w:t>
      </w:r>
      <w:r w:rsidR="001B20FB" w:rsidRPr="008A09E6">
        <w:t xml:space="preserve"> bank failure and catastrophe, </w:t>
      </w:r>
      <w:r w:rsidR="001B20FB">
        <w:t xml:space="preserve">we suggest that </w:t>
      </w:r>
      <w:r w:rsidR="001B20FB" w:rsidRPr="008A09E6">
        <w:t xml:space="preserve">risk experts, with an agenda shaped by the shareholder-value paradigm that corporate leaders lived by, sought to maximize risk-adjusted returns. </w:t>
      </w:r>
      <w:r w:rsidR="001B20FB">
        <w:t xml:space="preserve">In pursuit of this agenda, </w:t>
      </w:r>
      <w:r w:rsidR="001B20FB" w:rsidRPr="008A09E6">
        <w:t xml:space="preserve">CROs encouraged banks to expand </w:t>
      </w:r>
      <w:r w:rsidR="001B20FB">
        <w:t>their reliance on tools like</w:t>
      </w:r>
      <w:r w:rsidR="001B20FB" w:rsidRPr="008A09E6">
        <w:t xml:space="preserve"> new derivatives, which facilitated the quick fine-tuning of exposures as market conditions changed.</w:t>
      </w:r>
      <w:r w:rsidR="00EF1770" w:rsidRPr="008A09E6">
        <w:t xml:space="preserve"> </w:t>
      </w:r>
      <w:r w:rsidR="00DA2307" w:rsidRPr="008A09E6">
        <w:t>Yet t</w:t>
      </w:r>
      <w:r w:rsidR="00EF1770" w:rsidRPr="008A09E6">
        <w:t xml:space="preserve">hese derivatives </w:t>
      </w:r>
      <w:r w:rsidR="00DA2307" w:rsidRPr="008A09E6">
        <w:t xml:space="preserve">also </w:t>
      </w:r>
      <w:r w:rsidR="006A62AC" w:rsidRPr="008A09E6">
        <w:t xml:space="preserve">introduced </w:t>
      </w:r>
      <w:r w:rsidR="000730F6">
        <w:t xml:space="preserve">additional </w:t>
      </w:r>
      <w:r w:rsidR="006A62AC" w:rsidRPr="008A09E6">
        <w:t>credit and liquidity risk</w:t>
      </w:r>
      <w:r w:rsidR="009358C0" w:rsidRPr="008A09E6">
        <w:t xml:space="preserve">, and had never been </w:t>
      </w:r>
      <w:r w:rsidR="00A106AC" w:rsidRPr="008A09E6">
        <w:t xml:space="preserve">exposed to extreme </w:t>
      </w:r>
      <w:r w:rsidR="00A106AC" w:rsidRPr="00D51528">
        <w:t xml:space="preserve">stress. </w:t>
      </w:r>
      <w:r w:rsidR="00DA2307" w:rsidRPr="00D51528">
        <w:t>CROs</w:t>
      </w:r>
      <w:r w:rsidR="001B20FB">
        <w:t xml:space="preserve"> </w:t>
      </w:r>
      <w:r w:rsidR="00DA2307" w:rsidRPr="00D51528">
        <w:t xml:space="preserve">should </w:t>
      </w:r>
      <w:r w:rsidR="00FC1C45" w:rsidRPr="00D51528">
        <w:t xml:space="preserve">not </w:t>
      </w:r>
      <w:r w:rsidR="00DA2307" w:rsidRPr="00D51528">
        <w:t xml:space="preserve">have </w:t>
      </w:r>
      <w:r w:rsidR="00FC1C45" w:rsidRPr="00D51528">
        <w:t xml:space="preserve">been surprised by the </w:t>
      </w:r>
      <w:r w:rsidR="00EE763D" w:rsidRPr="00D51528">
        <w:t xml:space="preserve">negative </w:t>
      </w:r>
      <w:r w:rsidR="00FC1C45" w:rsidRPr="00D51528">
        <w:t>consequences that followed.</w:t>
      </w:r>
      <w:r w:rsidR="00FC1C45" w:rsidRPr="008A09E6">
        <w:t xml:space="preserve"> </w:t>
      </w:r>
    </w:p>
    <w:p w14:paraId="6DEA730C" w14:textId="47D6D078" w:rsidR="00DF09D3" w:rsidRPr="00220E45" w:rsidRDefault="00C439BF" w:rsidP="00622847">
      <w:pPr>
        <w:spacing w:line="480" w:lineRule="auto"/>
        <w:ind w:firstLine="720"/>
      </w:pPr>
      <w:r w:rsidRPr="008A09E6">
        <w:t>We also suggest that closer attention to the</w:t>
      </w:r>
      <w:r w:rsidRPr="00964941">
        <w:t xml:space="preserve"> pre-existing agendas of compliance experts helps to explain </w:t>
      </w:r>
      <w:r w:rsidR="00404A2A">
        <w:t xml:space="preserve">the </w:t>
      </w:r>
      <w:r w:rsidR="002A47BA">
        <w:t xml:space="preserve">rising </w:t>
      </w:r>
      <w:r w:rsidR="00C72F14">
        <w:t xml:space="preserve">incidence of </w:t>
      </w:r>
      <w:r>
        <w:t>“</w:t>
      </w:r>
      <w:r w:rsidRPr="00633B42">
        <w:t>means-end decoupling</w:t>
      </w:r>
      <w:r>
        <w:t>”</w:t>
      </w:r>
      <w:r w:rsidRPr="00964941">
        <w:t xml:space="preserve">, in which </w:t>
      </w:r>
      <w:r>
        <w:t>new</w:t>
      </w:r>
      <w:r w:rsidR="00A003E2">
        <w:t xml:space="preserve"> organizational</w:t>
      </w:r>
      <w:r>
        <w:t xml:space="preserve"> policies are followed to the letter, but are only loosely tied to specified ends </w:t>
      </w:r>
      <w:r w:rsidRPr="00964941">
        <w:t>(Bromley and Powell 2012</w:t>
      </w:r>
      <w:r w:rsidR="003E37E1">
        <w:t xml:space="preserve">). </w:t>
      </w:r>
      <w:r w:rsidR="007541B7">
        <w:t xml:space="preserve">Our findings </w:t>
      </w:r>
      <w:r w:rsidRPr="00964941">
        <w:t xml:space="preserve">suggest that </w:t>
      </w:r>
      <w:r>
        <w:t xml:space="preserve">means-ends decoupling </w:t>
      </w:r>
      <w:r w:rsidRPr="00964941">
        <w:t xml:space="preserve">may be driven by </w:t>
      </w:r>
      <w:r>
        <w:t xml:space="preserve">growing pressure on experts to cast their </w:t>
      </w:r>
      <w:r w:rsidR="007541B7">
        <w:t>innovations</w:t>
      </w:r>
      <w:r>
        <w:t xml:space="preserve"> </w:t>
      </w:r>
      <w:r w:rsidRPr="00964941">
        <w:t xml:space="preserve">in terms that appeal to corporate leaders, </w:t>
      </w:r>
      <w:r w:rsidR="001B5204">
        <w:t xml:space="preserve">which are </w:t>
      </w:r>
      <w:r w:rsidR="004E0ACE">
        <w:t xml:space="preserve">generally </w:t>
      </w:r>
      <w:r w:rsidR="001B5204">
        <w:t xml:space="preserve">the </w:t>
      </w:r>
      <w:r>
        <w:t>terms</w:t>
      </w:r>
      <w:r w:rsidRPr="00964941">
        <w:t xml:space="preserve"> of shareholder value.</w:t>
      </w:r>
    </w:p>
    <w:p w14:paraId="6160FC50" w14:textId="77777777" w:rsidR="00C439BF" w:rsidRDefault="00C439BF" w:rsidP="00622847">
      <w:pPr>
        <w:spacing w:line="480" w:lineRule="auto"/>
        <w:rPr>
          <w:b/>
        </w:rPr>
      </w:pPr>
    </w:p>
    <w:p w14:paraId="4E1FC29A" w14:textId="2AB8757D" w:rsidR="00DF09D3" w:rsidRPr="00220E45" w:rsidRDefault="0031372D" w:rsidP="00622847">
      <w:pPr>
        <w:spacing w:line="480" w:lineRule="auto"/>
      </w:pPr>
      <w:r w:rsidRPr="00220E45">
        <w:rPr>
          <w:b/>
        </w:rPr>
        <w:t xml:space="preserve">Group Interests </w:t>
      </w:r>
      <w:r w:rsidR="00DF09D3" w:rsidRPr="00220E45">
        <w:rPr>
          <w:b/>
        </w:rPr>
        <w:t>and Compliance</w:t>
      </w:r>
    </w:p>
    <w:p w14:paraId="7968E95E" w14:textId="025CF215" w:rsidR="003607E0" w:rsidRPr="00220E45" w:rsidRDefault="00710387" w:rsidP="00622847">
      <w:pPr>
        <w:spacing w:line="480" w:lineRule="auto"/>
        <w:ind w:firstLine="720"/>
      </w:pPr>
      <w:r w:rsidRPr="00220E45">
        <w:t xml:space="preserve">Our second contribution is to consider how economic interests shape the behavior of </w:t>
      </w:r>
      <w:r w:rsidR="0042114B">
        <w:t xml:space="preserve">other </w:t>
      </w:r>
      <w:r w:rsidRPr="00220E45">
        <w:t xml:space="preserve">groups with the power to </w:t>
      </w:r>
      <w:r w:rsidR="00CF1627" w:rsidRPr="00220E45">
        <w:t>influence</w:t>
      </w:r>
      <w:r w:rsidR="00FF2FC6" w:rsidRPr="00220E45">
        <w:t xml:space="preserve"> strategy. </w:t>
      </w:r>
      <w:r w:rsidR="00BF0111" w:rsidRPr="00220E45">
        <w:t>Organizational scholars have explored how groups promoting new management paradigms gain power in the interorganiza</w:t>
      </w:r>
      <w:r w:rsidRPr="00220E45">
        <w:t>ti</w:t>
      </w:r>
      <w:r w:rsidR="00BF0111" w:rsidRPr="00220E45">
        <w:t>onal field, and push innovations through (Fligstein 1990</w:t>
      </w:r>
      <w:r w:rsidR="00FF2FC6" w:rsidRPr="00220E45">
        <w:t xml:space="preserve">; Jung 2016). </w:t>
      </w:r>
      <w:r w:rsidR="003607E0" w:rsidRPr="00220E45">
        <w:t xml:space="preserve">They have not explored how the </w:t>
      </w:r>
      <w:r w:rsidR="007541B7">
        <w:t xml:space="preserve">concrete </w:t>
      </w:r>
      <w:r w:rsidR="003607E0" w:rsidRPr="00220E45">
        <w:t xml:space="preserve">interests of </w:t>
      </w:r>
      <w:r w:rsidR="006A66FE">
        <w:t xml:space="preserve">already </w:t>
      </w:r>
      <w:r w:rsidR="003607E0" w:rsidRPr="00220E45">
        <w:t xml:space="preserve">powerful groups shape corporate take-up of </w:t>
      </w:r>
      <w:r w:rsidR="007541B7">
        <w:t>innovations</w:t>
      </w:r>
      <w:r w:rsidR="003607E0" w:rsidRPr="00220E45">
        <w:t xml:space="preserve">. We suggest that </w:t>
      </w:r>
      <w:r w:rsidR="00AF6A01" w:rsidRPr="00220E45">
        <w:t xml:space="preserve">executives and large investors have the capacity to </w:t>
      </w:r>
      <w:r w:rsidR="00AF6A01" w:rsidRPr="00120F05">
        <w:t>influence</w:t>
      </w:r>
      <w:r w:rsidR="00CB4DF0" w:rsidRPr="00120F05">
        <w:t xml:space="preserve"> compliance outcomes</w:t>
      </w:r>
      <w:r w:rsidR="003607E0" w:rsidRPr="00120F05">
        <w:t xml:space="preserve">, and that their interests were </w:t>
      </w:r>
      <w:r w:rsidR="001D2956" w:rsidRPr="00120F05">
        <w:t>shaped</w:t>
      </w:r>
      <w:r w:rsidR="0042114B" w:rsidRPr="00120F05">
        <w:t xml:space="preserve"> by compensation and ownership arrangements</w:t>
      </w:r>
      <w:r w:rsidR="003607E0" w:rsidRPr="00120F05">
        <w:t xml:space="preserve">. </w:t>
      </w:r>
      <w:r w:rsidR="006148F5" w:rsidRPr="00120F05">
        <w:t xml:space="preserve">New </w:t>
      </w:r>
      <w:r w:rsidR="00E966F1" w:rsidRPr="00120F05">
        <w:t>derivatives</w:t>
      </w:r>
      <w:r w:rsidR="003607E0" w:rsidRPr="00120F05">
        <w:t xml:space="preserve"> </w:t>
      </w:r>
      <w:r w:rsidR="00FE341F" w:rsidRPr="00120F05">
        <w:t xml:space="preserve">could </w:t>
      </w:r>
      <w:r w:rsidR="008C38F4" w:rsidRPr="00120F05">
        <w:t>facilitate leveraged</w:t>
      </w:r>
      <w:r w:rsidR="006148F5" w:rsidRPr="00120F05">
        <w:t xml:space="preserve"> </w:t>
      </w:r>
      <w:r w:rsidRPr="00120F05">
        <w:t xml:space="preserve">exposure to </w:t>
      </w:r>
      <w:r w:rsidR="003607E0" w:rsidRPr="00120F05">
        <w:t>high-risk, high-return assets. Executives</w:t>
      </w:r>
      <w:r w:rsidR="003607E0" w:rsidRPr="00220E45">
        <w:t xml:space="preserve"> a</w:t>
      </w:r>
      <w:r w:rsidR="002A68D3">
        <w:t xml:space="preserve">nd fund managers </w:t>
      </w:r>
      <w:r w:rsidR="002A68D3">
        <w:lastRenderedPageBreak/>
        <w:t>recogn</w:t>
      </w:r>
      <w:r w:rsidR="003E37E1">
        <w:t>iz</w:t>
      </w:r>
      <w:r w:rsidR="002A68D3">
        <w:t>ed</w:t>
      </w:r>
      <w:r w:rsidR="003607E0" w:rsidRPr="00220E45">
        <w:t xml:space="preserve"> the</w:t>
      </w:r>
      <w:r w:rsidR="006148F5">
        <w:t>ir</w:t>
      </w:r>
      <w:r w:rsidR="003607E0" w:rsidRPr="00220E45">
        <w:t xml:space="preserve"> potential to boost share price, </w:t>
      </w:r>
      <w:r w:rsidR="00060F18" w:rsidRPr="00220E45">
        <w:t>while recognizing</w:t>
      </w:r>
      <w:r w:rsidR="007C377A" w:rsidRPr="00220E45">
        <w:t xml:space="preserve"> that </w:t>
      </w:r>
      <w:r w:rsidR="00060F18" w:rsidRPr="00220E45">
        <w:t xml:space="preserve">they </w:t>
      </w:r>
      <w:r w:rsidR="006148F5">
        <w:t xml:space="preserve">came with risks. Those </w:t>
      </w:r>
      <w:r w:rsidR="007C377A" w:rsidRPr="00220E45">
        <w:t xml:space="preserve">with an interest in minimizing risk, due to substantial illiquid </w:t>
      </w:r>
      <w:proofErr w:type="gramStart"/>
      <w:r w:rsidR="00733421" w:rsidRPr="00220E45">
        <w:t>equity</w:t>
      </w:r>
      <w:r w:rsidR="00060F18" w:rsidRPr="00220E45">
        <w:t>-</w:t>
      </w:r>
      <w:r w:rsidR="007C377A" w:rsidRPr="00220E45">
        <w:t>holding</w:t>
      </w:r>
      <w:proofErr w:type="gramEnd"/>
      <w:r w:rsidR="007C377A" w:rsidRPr="00220E45">
        <w:t xml:space="preserve">, prevented CROs from expanding </w:t>
      </w:r>
      <w:r w:rsidR="00060F18" w:rsidRPr="00220E45">
        <w:t xml:space="preserve">bank </w:t>
      </w:r>
      <w:r w:rsidR="004F6CB4" w:rsidRPr="00220E45">
        <w:t>reliance</w:t>
      </w:r>
      <w:r w:rsidR="00F838F0" w:rsidRPr="00220E45">
        <w:t xml:space="preserve"> </w:t>
      </w:r>
      <w:r w:rsidR="004F6CB4" w:rsidRPr="00220E45">
        <w:t xml:space="preserve">on </w:t>
      </w:r>
      <w:r w:rsidR="007C377A" w:rsidRPr="00220E45">
        <w:t xml:space="preserve">new derivatives. But CEOs dependent on </w:t>
      </w:r>
      <w:r w:rsidR="006148F5">
        <w:t xml:space="preserve">upside-only </w:t>
      </w:r>
      <w:r w:rsidR="007C377A" w:rsidRPr="00220E45">
        <w:t>performance pay</w:t>
      </w:r>
      <w:r w:rsidR="001B0DD5" w:rsidRPr="00220E45">
        <w:t xml:space="preserve"> </w:t>
      </w:r>
      <w:r w:rsidR="00060F18" w:rsidRPr="00220E45">
        <w:t xml:space="preserve">promoted </w:t>
      </w:r>
      <w:r w:rsidR="007C377A" w:rsidRPr="00220E45">
        <w:t xml:space="preserve">use of the new </w:t>
      </w:r>
      <w:r w:rsidR="007C377A" w:rsidRPr="00F2312F">
        <w:t xml:space="preserve">derivatives and </w:t>
      </w:r>
      <w:r w:rsidR="00120F05">
        <w:t xml:space="preserve">seconded </w:t>
      </w:r>
      <w:r w:rsidR="007C377A" w:rsidRPr="00F2312F">
        <w:t>the</w:t>
      </w:r>
      <w:r w:rsidR="007C377A" w:rsidRPr="00220E45">
        <w:t xml:space="preserve"> enthusiasm</w:t>
      </w:r>
      <w:r w:rsidR="00120F05">
        <w:t xml:space="preserve"> of the CRO</w:t>
      </w:r>
      <w:r w:rsidR="007C377A" w:rsidRPr="00220E45">
        <w:t xml:space="preserve">.  </w:t>
      </w:r>
    </w:p>
    <w:p w14:paraId="6B33B59A" w14:textId="70BB6A38" w:rsidR="007C7107" w:rsidRPr="00220E45" w:rsidRDefault="00EF7E48" w:rsidP="00622847">
      <w:pPr>
        <w:spacing w:line="480" w:lineRule="auto"/>
        <w:ind w:firstLine="720"/>
      </w:pPr>
      <w:r w:rsidRPr="00220E45">
        <w:t xml:space="preserve">We suggest that the ecology of group power, and interests, </w:t>
      </w:r>
      <w:r w:rsidR="006148F5">
        <w:t xml:space="preserve">has </w:t>
      </w:r>
      <w:r w:rsidRPr="00220E45">
        <w:t xml:space="preserve">been neglected in studies of legal compliance. </w:t>
      </w:r>
      <w:r w:rsidR="006148F5">
        <w:t>S</w:t>
      </w:r>
      <w:r w:rsidRPr="00220E45">
        <w:t xml:space="preserve">tudies have pointed to </w:t>
      </w:r>
      <w:r w:rsidR="00836E5B" w:rsidRPr="00220E45">
        <w:t xml:space="preserve">the institutional entrepreneurs who </w:t>
      </w:r>
      <w:r w:rsidR="006148F5">
        <w:t xml:space="preserve">promote </w:t>
      </w:r>
      <w:r w:rsidR="00836E5B" w:rsidRPr="00220E45">
        <w:t>innovations</w:t>
      </w:r>
      <w:r w:rsidR="006148F5">
        <w:t xml:space="preserve"> </w:t>
      </w:r>
      <w:r w:rsidR="007541B7">
        <w:t xml:space="preserve">while neglecting </w:t>
      </w:r>
      <w:r w:rsidRPr="00220E45">
        <w:t xml:space="preserve">their accomplices and opponents (but see </w:t>
      </w:r>
      <w:r w:rsidR="00836E5B" w:rsidRPr="00220E45">
        <w:t>Kellogg 2009; Dobbin, Kim, and Kalev 2011).</w:t>
      </w:r>
      <w:r w:rsidR="00DF1FD6" w:rsidRPr="00220E45">
        <w:t xml:space="preserve"> </w:t>
      </w:r>
      <w:r w:rsidRPr="00220E45">
        <w:t xml:space="preserve">In this case, </w:t>
      </w:r>
      <w:r w:rsidR="00712AF7">
        <w:t>e</w:t>
      </w:r>
      <w:r w:rsidRPr="00220E45">
        <w:t xml:space="preserve">xecutives and fund managers demonstrated the capacity to restrain, or </w:t>
      </w:r>
      <w:proofErr w:type="gramStart"/>
      <w:r w:rsidRPr="00220E45">
        <w:t>green-light</w:t>
      </w:r>
      <w:proofErr w:type="gramEnd"/>
      <w:r w:rsidRPr="00220E45">
        <w:t xml:space="preserve">, </w:t>
      </w:r>
      <w:r w:rsidR="007541B7">
        <w:t xml:space="preserve">compliance innovations </w:t>
      </w:r>
      <w:r w:rsidRPr="00220E45">
        <w:t xml:space="preserve">recommended by experts. </w:t>
      </w:r>
      <w:r w:rsidR="00712AF7">
        <w:t>A</w:t>
      </w:r>
      <w:r w:rsidR="00836E5B" w:rsidRPr="00220E45">
        <w:t xml:space="preserve">ttention to </w:t>
      </w:r>
      <w:r w:rsidR="00712AF7">
        <w:t xml:space="preserve">powerful </w:t>
      </w:r>
      <w:r w:rsidR="00836E5B" w:rsidRPr="00220E45">
        <w:t>groups</w:t>
      </w:r>
      <w:r w:rsidR="00712AF7">
        <w:t xml:space="preserve"> beyond complia</w:t>
      </w:r>
      <w:r w:rsidR="008F641A">
        <w:t>nce entrepreneurs</w:t>
      </w:r>
      <w:r w:rsidR="00712AF7">
        <w:t xml:space="preserve"> </w:t>
      </w:r>
      <w:r w:rsidR="00931BE6" w:rsidRPr="00220E45">
        <w:t xml:space="preserve">improves our ability </w:t>
      </w:r>
      <w:r w:rsidR="00836E5B" w:rsidRPr="00220E45">
        <w:t xml:space="preserve">to explain the uneven uptake of innovations across </w:t>
      </w:r>
      <w:r w:rsidR="003B67E8">
        <w:t xml:space="preserve">otherwise similar </w:t>
      </w:r>
      <w:r w:rsidR="00836E5B" w:rsidRPr="00220E45">
        <w:t xml:space="preserve">organizations. </w:t>
      </w:r>
    </w:p>
    <w:p w14:paraId="77D9F444" w14:textId="77777777" w:rsidR="00DF09D3" w:rsidRPr="00633B42" w:rsidRDefault="00DF09D3" w:rsidP="00622847">
      <w:pPr>
        <w:spacing w:line="480" w:lineRule="auto"/>
        <w:rPr>
          <w:strike/>
        </w:rPr>
      </w:pPr>
    </w:p>
    <w:p w14:paraId="432A1309" w14:textId="01800B04" w:rsidR="008454F4" w:rsidRPr="00220E45" w:rsidRDefault="00DF09D3" w:rsidP="00622847">
      <w:pPr>
        <w:spacing w:line="480" w:lineRule="auto"/>
        <w:rPr>
          <w:b/>
        </w:rPr>
      </w:pPr>
      <w:r w:rsidRPr="00220E45">
        <w:rPr>
          <w:b/>
        </w:rPr>
        <w:t xml:space="preserve">Risk, Regulation, and Shareholder Value </w:t>
      </w:r>
    </w:p>
    <w:p w14:paraId="3FEE5042" w14:textId="6162E00B" w:rsidR="00CD610F" w:rsidRPr="007366B1" w:rsidRDefault="00DF09D3" w:rsidP="00622847">
      <w:pPr>
        <w:spacing w:line="480" w:lineRule="auto"/>
        <w:ind w:firstLine="720"/>
      </w:pPr>
      <w:r w:rsidRPr="00220E45">
        <w:t>CROs have become more popular since the crisis. While 22% of large commercial banks had CRO</w:t>
      </w:r>
      <w:r w:rsidR="00F648CD" w:rsidRPr="00220E45">
        <w:t>s</w:t>
      </w:r>
      <w:r w:rsidRPr="00220E45">
        <w:t xml:space="preserve"> in 2007, 32% </w:t>
      </w:r>
      <w:r w:rsidR="00F648CD" w:rsidRPr="00220E45">
        <w:t xml:space="preserve">had them </w:t>
      </w:r>
      <w:r w:rsidRPr="00220E45">
        <w:t xml:space="preserve">by 2010 (see Figure 1). The business press </w:t>
      </w:r>
      <w:r w:rsidR="00F648CD" w:rsidRPr="00220E45">
        <w:t xml:space="preserve">now promotes </w:t>
      </w:r>
      <w:r w:rsidRPr="00220E45">
        <w:t xml:space="preserve">CROs and ERM as solutions to the risk management deficiencies that the credit crisis uncovered (Dobbs 2008; Sterngold 2014). </w:t>
      </w:r>
      <w:r w:rsidR="00F648CD" w:rsidRPr="00220E45">
        <w:t xml:space="preserve">Congress responded to the crisis with the </w:t>
      </w:r>
      <w:r w:rsidRPr="00220E45">
        <w:t>Dodd-Frank Act of 2010</w:t>
      </w:r>
      <w:r w:rsidR="00F648CD" w:rsidRPr="00220E45">
        <w:t>,</w:t>
      </w:r>
      <w:r w:rsidRPr="00220E45">
        <w:t xml:space="preserve"> </w:t>
      </w:r>
      <w:r w:rsidR="00F648CD" w:rsidRPr="00220E45">
        <w:t xml:space="preserve">requiring </w:t>
      </w:r>
      <w:r w:rsidRPr="00220E45">
        <w:t xml:space="preserve">financial institutions to establish enterprise risk management programs (Atkinson 2003: 1; Proviti 2007). </w:t>
      </w:r>
      <w:r w:rsidR="00CD610F" w:rsidRPr="00220E45">
        <w:t xml:space="preserve">Our findings suggest that this trend is worrisome. </w:t>
      </w:r>
      <w:r w:rsidR="004F38A0" w:rsidRPr="00220E45">
        <w:t xml:space="preserve">While </w:t>
      </w:r>
      <w:r w:rsidR="003B67E8">
        <w:t>results</w:t>
      </w:r>
      <w:r w:rsidR="004F38A0" w:rsidRPr="00220E45">
        <w:t xml:space="preserve"> show that CROs backed away from new, untested derivatives after 2007, their agenda of  “optimizing” risk remains </w:t>
      </w:r>
      <w:r w:rsidR="004F38A0" w:rsidRPr="007366B1">
        <w:t xml:space="preserve">unchanged. </w:t>
      </w:r>
    </w:p>
    <w:p w14:paraId="2CB8A6AB" w14:textId="3F2F8794" w:rsidR="00DF09D3" w:rsidRPr="00D51528" w:rsidRDefault="00336127" w:rsidP="00622847">
      <w:pPr>
        <w:spacing w:line="480" w:lineRule="auto"/>
        <w:ind w:firstLine="720"/>
      </w:pPr>
      <w:r w:rsidRPr="007366B1">
        <w:t xml:space="preserve">We show that </w:t>
      </w:r>
      <w:r w:rsidR="00481C2D" w:rsidRPr="007366B1">
        <w:t xml:space="preserve">CROs </w:t>
      </w:r>
      <w:r w:rsidR="003771FA" w:rsidRPr="007366B1">
        <w:t xml:space="preserve">implementing </w:t>
      </w:r>
      <w:r w:rsidR="00481C2D" w:rsidRPr="007366B1">
        <w:t xml:space="preserve">ERM </w:t>
      </w:r>
      <w:r w:rsidR="00B50234" w:rsidRPr="007366B1">
        <w:t xml:space="preserve">increased </w:t>
      </w:r>
      <w:r w:rsidR="00481C2D" w:rsidRPr="007366B1">
        <w:t xml:space="preserve">exposure to derivatives </w:t>
      </w:r>
      <w:r w:rsidR="00CF1627" w:rsidRPr="007366B1">
        <w:t xml:space="preserve">known to carry </w:t>
      </w:r>
      <w:r w:rsidR="00CA60D2" w:rsidRPr="007366B1">
        <w:t xml:space="preserve">greater </w:t>
      </w:r>
      <w:r w:rsidR="00F2312F" w:rsidRPr="007366B1">
        <w:t xml:space="preserve">uncertainty, </w:t>
      </w:r>
      <w:r w:rsidR="00CF1627" w:rsidRPr="007366B1">
        <w:t>credit</w:t>
      </w:r>
      <w:r w:rsidR="00F2312F" w:rsidRPr="007366B1">
        <w:t xml:space="preserve"> risk,</w:t>
      </w:r>
      <w:r w:rsidR="00CF1627" w:rsidRPr="007366B1">
        <w:t xml:space="preserve"> and liquidity risk</w:t>
      </w:r>
      <w:r w:rsidR="003B67E8" w:rsidRPr="007366B1">
        <w:t xml:space="preserve">, based on a model of </w:t>
      </w:r>
      <w:r w:rsidR="00842132" w:rsidRPr="007366B1">
        <w:t xml:space="preserve">adjusting risk to </w:t>
      </w:r>
      <w:r w:rsidR="00842132" w:rsidRPr="007366B1">
        <w:lastRenderedPageBreak/>
        <w:t>maximize</w:t>
      </w:r>
      <w:r w:rsidR="003B67E8" w:rsidRPr="007366B1">
        <w:t xml:space="preserve"> returns, not of eradicating risk of bank failure</w:t>
      </w:r>
      <w:r w:rsidR="003B67E8">
        <w:t xml:space="preserve"> </w:t>
      </w:r>
      <w:r w:rsidR="006541E5" w:rsidRPr="00C133CB">
        <w:t>(Nocco and Stulz 2006; Wood 2002)</w:t>
      </w:r>
      <w:r w:rsidR="00B96455" w:rsidRPr="00220E45">
        <w:t xml:space="preserve">. For shareholder value proponents, a </w:t>
      </w:r>
      <w:r w:rsidR="003B67E8">
        <w:t xml:space="preserve">bank </w:t>
      </w:r>
      <w:r w:rsidR="00B96455" w:rsidRPr="00220E45">
        <w:t xml:space="preserve">that has zero risk of failure is not serving </w:t>
      </w:r>
      <w:r w:rsidR="003B67E8">
        <w:t>investors</w:t>
      </w:r>
      <w:r w:rsidR="00B96455" w:rsidRPr="00220E45">
        <w:t>. Yet for systemically important institutions</w:t>
      </w:r>
      <w:r w:rsidR="006541E5">
        <w:t>, regulators and</w:t>
      </w:r>
      <w:r w:rsidR="00B96455" w:rsidRPr="00220E45">
        <w:t xml:space="preserve"> risk experts </w:t>
      </w:r>
      <w:r w:rsidR="003771FA" w:rsidRPr="00220E45">
        <w:t xml:space="preserve">might consider </w:t>
      </w:r>
      <w:r w:rsidR="00BB3D7E" w:rsidRPr="00220E45">
        <w:t>building in a greater margin of error</w:t>
      </w:r>
      <w:r w:rsidR="003B67E8">
        <w:t xml:space="preserve"> into their models</w:t>
      </w:r>
      <w:r w:rsidR="00B95BD7">
        <w:t xml:space="preserve">, and </w:t>
      </w:r>
      <w:r w:rsidR="00B96455" w:rsidRPr="00220E45">
        <w:t>set</w:t>
      </w:r>
      <w:r w:rsidR="006541E5">
        <w:t>ting</w:t>
      </w:r>
      <w:r w:rsidR="00B96455" w:rsidRPr="00220E45">
        <w:t xml:space="preserve"> acceptable </w:t>
      </w:r>
      <w:r w:rsidR="00B95BD7">
        <w:t xml:space="preserve">failure </w:t>
      </w:r>
      <w:r w:rsidR="00B96455" w:rsidRPr="00220E45">
        <w:t xml:space="preserve">odds much lower than those for the average </w:t>
      </w:r>
      <w:r w:rsidR="00B96455" w:rsidRPr="00D51528">
        <w:t xml:space="preserve">pharmacy chain.   </w:t>
      </w:r>
    </w:p>
    <w:p w14:paraId="7CF2B011" w14:textId="465F8915" w:rsidR="00090542" w:rsidRPr="00220E45" w:rsidRDefault="00B96455" w:rsidP="00622847">
      <w:pPr>
        <w:spacing w:line="480" w:lineRule="auto"/>
        <w:ind w:firstLine="720"/>
        <w:rPr>
          <w:b/>
        </w:rPr>
      </w:pPr>
      <w:r w:rsidRPr="00D51528">
        <w:t>W</w:t>
      </w:r>
      <w:r w:rsidR="00DF09D3" w:rsidRPr="00D51528">
        <w:t xml:space="preserve">hen </w:t>
      </w:r>
      <w:r w:rsidR="006541E5" w:rsidRPr="00D51528">
        <w:t xml:space="preserve">regulators </w:t>
      </w:r>
      <w:r w:rsidR="00DF09D3" w:rsidRPr="00D51528">
        <w:t xml:space="preserve">delegate </w:t>
      </w:r>
      <w:r w:rsidR="006541E5" w:rsidRPr="00D51528">
        <w:t xml:space="preserve">compliance </w:t>
      </w:r>
      <w:r w:rsidR="00DF09D3" w:rsidRPr="00D51528">
        <w:t xml:space="preserve">management to </w:t>
      </w:r>
      <w:r w:rsidR="006541E5" w:rsidRPr="00D51528">
        <w:t>corporations</w:t>
      </w:r>
      <w:r w:rsidR="00DF09D3" w:rsidRPr="00D51528">
        <w:t xml:space="preserve">, they should not be surprised to </w:t>
      </w:r>
      <w:r w:rsidR="006E2EB7" w:rsidRPr="00D51528">
        <w:t xml:space="preserve">find </w:t>
      </w:r>
      <w:r w:rsidR="006541E5" w:rsidRPr="00D51528">
        <w:t xml:space="preserve">experts </w:t>
      </w:r>
      <w:r w:rsidR="00BD2484" w:rsidRPr="00D51528">
        <w:t>implement</w:t>
      </w:r>
      <w:r w:rsidR="007366B1">
        <w:t>ing</w:t>
      </w:r>
      <w:r w:rsidR="00BD2484" w:rsidRPr="00D51528">
        <w:t xml:space="preserve"> reforms that </w:t>
      </w:r>
      <w:r w:rsidR="000A381F" w:rsidRPr="00D51528">
        <w:t xml:space="preserve">serve their own </w:t>
      </w:r>
      <w:r w:rsidR="00BD2484" w:rsidRPr="00D51528">
        <w:t>purposes</w:t>
      </w:r>
      <w:r w:rsidR="00D10436" w:rsidRPr="00D51528">
        <w:t xml:space="preserve">. </w:t>
      </w:r>
      <w:r w:rsidR="006541E5" w:rsidRPr="00D51528">
        <w:t>Corporate</w:t>
      </w:r>
      <w:r w:rsidR="006541E5" w:rsidRPr="0025590A">
        <w:t xml:space="preserve"> leaders, and the experts they charge with compliance, may pursue goals at odds with </w:t>
      </w:r>
      <w:r w:rsidR="00CB193E" w:rsidRPr="0025590A">
        <w:t xml:space="preserve">public purposes. </w:t>
      </w:r>
      <w:r w:rsidR="00DF09D3" w:rsidRPr="0025590A">
        <w:t>Perrow</w:t>
      </w:r>
      <w:r w:rsidR="00CB193E" w:rsidRPr="0025590A">
        <w:t>’s</w:t>
      </w:r>
      <w:r w:rsidR="00DF09D3" w:rsidRPr="0025590A">
        <w:t xml:space="preserve"> (1984) </w:t>
      </w:r>
      <w:r w:rsidR="00CB193E" w:rsidRPr="0025590A">
        <w:t>warning</w:t>
      </w:r>
      <w:r w:rsidR="00CB193E" w:rsidRPr="00220E45">
        <w:t xml:space="preserve"> against delegating risk assessment to organizational experts is as timely as ever</w:t>
      </w:r>
      <w:r w:rsidR="00DF09D3" w:rsidRPr="00220E45">
        <w:t xml:space="preserve">. </w:t>
      </w:r>
      <w:r w:rsidR="00CB193E" w:rsidRPr="00220E45">
        <w:t>What</w:t>
      </w:r>
      <w:r w:rsidR="00BB3D7E" w:rsidRPr="00220E45">
        <w:t>, then,</w:t>
      </w:r>
      <w:r w:rsidR="00CB193E" w:rsidRPr="00220E45">
        <w:t xml:space="preserve"> should regulators be doing to curtail risk? </w:t>
      </w:r>
      <w:r w:rsidR="00633B42">
        <w:t xml:space="preserve">Our findings suggest that </w:t>
      </w:r>
      <w:r w:rsidR="006204CC">
        <w:t>extant</w:t>
      </w:r>
      <w:r w:rsidR="00682F7E">
        <w:t xml:space="preserve"> </w:t>
      </w:r>
      <w:r w:rsidR="00633B42">
        <w:t>c</w:t>
      </w:r>
      <w:r w:rsidR="006541E5">
        <w:t>orporate risk management pro</w:t>
      </w:r>
      <w:r w:rsidR="00B95BD7">
        <w:t xml:space="preserve">grams </w:t>
      </w:r>
      <w:r w:rsidR="00682F7E">
        <w:t xml:space="preserve">are unlikely to </w:t>
      </w:r>
      <w:r w:rsidR="00B95BD7">
        <w:t>solve the problem</w:t>
      </w:r>
      <w:r w:rsidR="006541E5">
        <w:t xml:space="preserve">. </w:t>
      </w:r>
      <w:r w:rsidR="00BB3D7E" w:rsidRPr="00220E45">
        <w:t>Instead, policymakers</w:t>
      </w:r>
      <w:r w:rsidR="00090542" w:rsidRPr="00220E45">
        <w:t xml:space="preserve"> </w:t>
      </w:r>
      <w:r w:rsidR="00DF09D3" w:rsidRPr="00220E45">
        <w:t xml:space="preserve">might give greater thought to how </w:t>
      </w:r>
      <w:r w:rsidR="00B95BD7">
        <w:t xml:space="preserve">individuals within </w:t>
      </w:r>
      <w:r w:rsidR="00DF09D3" w:rsidRPr="00220E45">
        <w:t>firms will respond to their initiatives</w:t>
      </w:r>
      <w:r w:rsidR="00557381">
        <w:t>,</w:t>
      </w:r>
      <w:r w:rsidR="00557381" w:rsidRPr="00220E45">
        <w:t xml:space="preserve"> taking a lesson from organizational theorists, who see the corporation not as a person with a single vector of interests, but as an agglomeration of individuals with interests and motives </w:t>
      </w:r>
      <w:r w:rsidR="00557381">
        <w:t xml:space="preserve">deriving </w:t>
      </w:r>
      <w:r w:rsidR="00557381" w:rsidRPr="00220E45">
        <w:t xml:space="preserve">from their positions and professional </w:t>
      </w:r>
      <w:r w:rsidR="00557381" w:rsidRPr="00963149">
        <w:t>backgrounds.</w:t>
      </w:r>
      <w:r w:rsidR="00557381">
        <w:t xml:space="preserve"> </w:t>
      </w:r>
    </w:p>
    <w:p w14:paraId="25E08EDC" w14:textId="18BA5267" w:rsidR="00090542" w:rsidRPr="00557381" w:rsidRDefault="00090542" w:rsidP="00622847">
      <w:pPr>
        <w:spacing w:line="480" w:lineRule="auto"/>
        <w:ind w:firstLine="720"/>
      </w:pPr>
      <w:r w:rsidRPr="00220E45">
        <w:t xml:space="preserve">Our findings about CEOs and fund managers suggest that with the right incentives, those groups can put the brakes on </w:t>
      </w:r>
      <w:proofErr w:type="gramStart"/>
      <w:r w:rsidRPr="00220E45">
        <w:t>risk-seeking</w:t>
      </w:r>
      <w:proofErr w:type="gramEnd"/>
      <w:r w:rsidRPr="00220E45">
        <w:t xml:space="preserve">. Where they had skin in the game, in the form of large, illiquid stakes, both groups curtailed exposure to </w:t>
      </w:r>
      <w:r w:rsidR="00684CA4">
        <w:t>riskier</w:t>
      </w:r>
      <w:r w:rsidR="00CD0CBF">
        <w:t xml:space="preserve"> new </w:t>
      </w:r>
      <w:r w:rsidRPr="00220E45">
        <w:t>derivatives. It is unfortunate</w:t>
      </w:r>
      <w:proofErr w:type="gramStart"/>
      <w:r w:rsidRPr="00220E45">
        <w:t>,</w:t>
      </w:r>
      <w:proofErr w:type="gramEnd"/>
      <w:r w:rsidRPr="00220E45">
        <w:t xml:space="preserve"> then, that few corporations have followed agency theorists’ advice to use long-term incentive plans to ensure that executives hold equity (Jensen and Meckling 1976</w:t>
      </w:r>
      <w:r w:rsidR="00C71A54" w:rsidRPr="00220E45">
        <w:t xml:space="preserve">) or to </w:t>
      </w:r>
      <w:r w:rsidRPr="00220E45">
        <w:t xml:space="preserve">back away from performance pay (Jensen </w:t>
      </w:r>
      <w:r w:rsidRPr="00D10436">
        <w:t xml:space="preserve">1990). When investment banks were private </w:t>
      </w:r>
      <w:r w:rsidR="00CC6560" w:rsidRPr="00D10436">
        <w:t xml:space="preserve">partnerships, their partners were </w:t>
      </w:r>
      <w:r w:rsidR="00B95BD7" w:rsidRPr="00D10436">
        <w:t xml:space="preserve">fully </w:t>
      </w:r>
      <w:r w:rsidR="00CC6560" w:rsidRPr="00D10436">
        <w:t xml:space="preserve">exposed to risks. A return to the partnership model would surely make banks more </w:t>
      </w:r>
      <w:r w:rsidR="00CC6560" w:rsidRPr="00D10436">
        <w:lastRenderedPageBreak/>
        <w:t xml:space="preserve">cautious. But the </w:t>
      </w:r>
      <w:r w:rsidR="00B95BD7" w:rsidRPr="00D10436">
        <w:t xml:space="preserve">popularity </w:t>
      </w:r>
      <w:r w:rsidR="00C71A54" w:rsidRPr="00D10436">
        <w:t xml:space="preserve">of </w:t>
      </w:r>
      <w:r w:rsidR="003F2341" w:rsidRPr="00D10436">
        <w:t>performance pay</w:t>
      </w:r>
      <w:r w:rsidR="00CC6560" w:rsidRPr="00D10436">
        <w:t>, which can make bank executives immensely wealthy overnight, makes a return to that model unlikely.</w:t>
      </w:r>
      <w:r w:rsidR="00CC6560" w:rsidRPr="00220E45">
        <w:t xml:space="preserve">  </w:t>
      </w:r>
    </w:p>
    <w:p w14:paraId="637AA08F" w14:textId="77777777" w:rsidR="00DF09D3" w:rsidRDefault="00DF09D3" w:rsidP="00080D5F">
      <w:pPr>
        <w:ind w:firstLine="720"/>
        <w:rPr>
          <w:b/>
        </w:rPr>
      </w:pPr>
    </w:p>
    <w:p w14:paraId="79A074E0" w14:textId="7E489288" w:rsidR="00BF5556" w:rsidRDefault="00BF5556">
      <w:pPr>
        <w:rPr>
          <w:b/>
        </w:rPr>
      </w:pPr>
      <w:r>
        <w:rPr>
          <w:b/>
        </w:rPr>
        <w:br w:type="page"/>
      </w:r>
    </w:p>
    <w:p w14:paraId="412A6012" w14:textId="11B46557" w:rsidR="00BF5556" w:rsidRDefault="00BF5556">
      <w:pPr>
        <w:rPr>
          <w:b/>
        </w:rPr>
      </w:pPr>
      <w:r>
        <w:rPr>
          <w:b/>
        </w:rPr>
        <w:lastRenderedPageBreak/>
        <w:br w:type="page"/>
      </w:r>
    </w:p>
    <w:p w14:paraId="50A06311" w14:textId="77777777" w:rsidR="00BF5556" w:rsidRDefault="00BF5556" w:rsidP="00080D5F">
      <w:pPr>
        <w:ind w:firstLine="720"/>
        <w:rPr>
          <w:b/>
        </w:rPr>
        <w:sectPr w:rsidR="00BF5556" w:rsidSect="00347093">
          <w:endnotePr>
            <w:numFmt w:val="decimal"/>
          </w:endnotePr>
          <w:pgSz w:w="12240" w:h="15840"/>
          <w:pgMar w:top="1440" w:right="1440" w:bottom="1440" w:left="1440" w:header="720" w:footer="720" w:gutter="0"/>
          <w:pgNumType w:start="1"/>
          <w:cols w:space="720"/>
          <w:titlePg/>
        </w:sectPr>
      </w:pPr>
    </w:p>
    <w:p w14:paraId="4DDBDFBF" w14:textId="4D4CAE6F" w:rsidR="00BF5556" w:rsidRDefault="00BF5556" w:rsidP="004624ED">
      <w:pPr>
        <w:rPr>
          <w:b/>
        </w:rPr>
      </w:pPr>
      <w:r>
        <w:rPr>
          <w:b/>
        </w:rPr>
        <w:lastRenderedPageBreak/>
        <w:t>REFERENCES</w:t>
      </w:r>
    </w:p>
    <w:p w14:paraId="3116C2FA" w14:textId="77777777" w:rsidR="004624ED" w:rsidRDefault="004624ED" w:rsidP="004624ED">
      <w:r>
        <w:t xml:space="preserve">Adams, Renee B. and Daniel Ferreira. 2009. “Women in the Boardroom and their Impact </w:t>
      </w:r>
    </w:p>
    <w:p w14:paraId="5142CFFA" w14:textId="77777777" w:rsidR="004624ED" w:rsidRPr="00ED32F3" w:rsidRDefault="004624ED" w:rsidP="004624ED">
      <w:pPr>
        <w:tabs>
          <w:tab w:val="left" w:pos="0"/>
        </w:tabs>
        <w:contextualSpacing/>
        <w:rPr>
          <w:bCs/>
        </w:rPr>
      </w:pPr>
      <w:r>
        <w:rPr>
          <w:bCs/>
        </w:rPr>
        <w:tab/>
      </w:r>
      <w:proofErr w:type="gramStart"/>
      <w:r>
        <w:rPr>
          <w:bCs/>
        </w:rPr>
        <w:t>on</w:t>
      </w:r>
      <w:proofErr w:type="gramEnd"/>
      <w:r>
        <w:rPr>
          <w:bCs/>
        </w:rPr>
        <w:t xml:space="preserve"> Governance and P</w:t>
      </w:r>
      <w:r w:rsidRPr="0065449C">
        <w:rPr>
          <w:bCs/>
        </w:rPr>
        <w:t>erformance</w:t>
      </w:r>
      <w:r>
        <w:rPr>
          <w:bCs/>
        </w:rPr>
        <w:t xml:space="preserve">” </w:t>
      </w:r>
      <w:r>
        <w:rPr>
          <w:bCs/>
          <w:i/>
        </w:rPr>
        <w:t xml:space="preserve">Journal of Financial Economics </w:t>
      </w:r>
      <w:r>
        <w:rPr>
          <w:bCs/>
        </w:rPr>
        <w:t>94: 291-309.</w:t>
      </w:r>
    </w:p>
    <w:p w14:paraId="0B319DE3" w14:textId="77777777" w:rsidR="004624ED" w:rsidRPr="008C6F2A" w:rsidRDefault="004624ED" w:rsidP="004624ED">
      <w:pPr>
        <w:tabs>
          <w:tab w:val="left" w:pos="0"/>
        </w:tabs>
        <w:contextualSpacing/>
        <w:rPr>
          <w:shd w:val="clear" w:color="auto" w:fill="FFFFFF"/>
        </w:rPr>
      </w:pPr>
      <w:proofErr w:type="gramStart"/>
      <w:r w:rsidRPr="008C6F2A">
        <w:rPr>
          <w:shd w:val="clear" w:color="auto" w:fill="FFFFFF"/>
        </w:rPr>
        <w:t>Adkins, Lee C., David A. Carter, and W. Gary Simpson.</w:t>
      </w:r>
      <w:proofErr w:type="gramEnd"/>
      <w:r w:rsidRPr="008C6F2A">
        <w:rPr>
          <w:shd w:val="clear" w:color="auto" w:fill="FFFFFF"/>
        </w:rPr>
        <w:t xml:space="preserve"> 2007. “Managerial Incentives </w:t>
      </w:r>
    </w:p>
    <w:p w14:paraId="0982CECE" w14:textId="77777777" w:rsidR="004624ED" w:rsidRDefault="004624ED" w:rsidP="004624ED">
      <w:pPr>
        <w:tabs>
          <w:tab w:val="left" w:pos="0"/>
        </w:tabs>
        <w:ind w:left="720"/>
        <w:contextualSpacing/>
        <w:rPr>
          <w:shd w:val="clear" w:color="auto" w:fill="FFFFFF"/>
        </w:rPr>
      </w:pPr>
      <w:proofErr w:type="gramStart"/>
      <w:r w:rsidRPr="008C6F2A">
        <w:rPr>
          <w:shd w:val="clear" w:color="auto" w:fill="FFFFFF"/>
        </w:rPr>
        <w:t>and</w:t>
      </w:r>
      <w:proofErr w:type="gramEnd"/>
      <w:r w:rsidRPr="008C6F2A">
        <w:rPr>
          <w:shd w:val="clear" w:color="auto" w:fill="FFFFFF"/>
        </w:rPr>
        <w:t xml:space="preserve"> the Use of Foreign-Exchange Derivatives by Banks” </w:t>
      </w:r>
      <w:r w:rsidRPr="008C6F2A">
        <w:rPr>
          <w:i/>
          <w:shd w:val="clear" w:color="auto" w:fill="FFFFFF"/>
        </w:rPr>
        <w:t xml:space="preserve">The Journal of Financial Research </w:t>
      </w:r>
      <w:r w:rsidRPr="008C6F2A">
        <w:rPr>
          <w:shd w:val="clear" w:color="auto" w:fill="FFFFFF"/>
        </w:rPr>
        <w:t>30(3): 399-413.</w:t>
      </w:r>
    </w:p>
    <w:p w14:paraId="7A44774B" w14:textId="77777777" w:rsidR="004624ED" w:rsidRDefault="004624ED" w:rsidP="004624ED">
      <w:pPr>
        <w:tabs>
          <w:tab w:val="left" w:pos="0"/>
        </w:tabs>
        <w:contextualSpacing/>
        <w:rPr>
          <w:rFonts w:eastAsia="Times New Roman"/>
        </w:rPr>
      </w:pPr>
      <w:r w:rsidRPr="00A830C7">
        <w:rPr>
          <w:rFonts w:eastAsia="Times New Roman"/>
        </w:rPr>
        <w:t>Afonso</w:t>
      </w:r>
      <w:r>
        <w:rPr>
          <w:rFonts w:eastAsia="Times New Roman"/>
        </w:rPr>
        <w:t>, Gara, Joao A. C. Santos, and James Traina.</w:t>
      </w:r>
      <w:r w:rsidRPr="00A830C7">
        <w:rPr>
          <w:rFonts w:eastAsia="Times New Roman"/>
        </w:rPr>
        <w:t xml:space="preserve"> 2014</w:t>
      </w:r>
      <w:r>
        <w:rPr>
          <w:rFonts w:eastAsia="Times New Roman"/>
        </w:rPr>
        <w:t>. “</w:t>
      </w:r>
      <w:r w:rsidRPr="009D01F8">
        <w:rPr>
          <w:rFonts w:eastAsia="Times New Roman"/>
        </w:rPr>
        <w:t xml:space="preserve">Do "Too-Big-to-Fail" Banks </w:t>
      </w:r>
    </w:p>
    <w:p w14:paraId="2FA17CDF" w14:textId="77777777" w:rsidR="004624ED" w:rsidRPr="00C826BB" w:rsidRDefault="004624ED" w:rsidP="004624ED">
      <w:pPr>
        <w:tabs>
          <w:tab w:val="left" w:pos="0"/>
        </w:tabs>
        <w:ind w:left="720"/>
        <w:contextualSpacing/>
        <w:rPr>
          <w:rFonts w:eastAsia="Times New Roman"/>
        </w:rPr>
      </w:pPr>
      <w:r w:rsidRPr="009D01F8">
        <w:rPr>
          <w:rFonts w:eastAsia="Times New Roman"/>
        </w:rPr>
        <w:t>Take On More Risk?</w:t>
      </w:r>
      <w:r>
        <w:rPr>
          <w:rFonts w:eastAsia="Times New Roman"/>
        </w:rPr>
        <w:t xml:space="preserve">” </w:t>
      </w:r>
      <w:proofErr w:type="gramStart"/>
      <w:r>
        <w:rPr>
          <w:rFonts w:eastAsia="Times New Roman"/>
          <w:i/>
        </w:rPr>
        <w:t xml:space="preserve">Federal Reserve Bank of New York Economic Policy Review </w:t>
      </w:r>
      <w:r>
        <w:rPr>
          <w:rFonts w:eastAsia="Times New Roman"/>
        </w:rPr>
        <w:t>20(2): 41-58.</w:t>
      </w:r>
      <w:proofErr w:type="gramEnd"/>
    </w:p>
    <w:p w14:paraId="61403DF8" w14:textId="77777777" w:rsidR="004624ED" w:rsidRDefault="004624ED" w:rsidP="004624ED">
      <w:pPr>
        <w:ind w:left="720" w:hanging="720"/>
        <w:contextualSpacing/>
        <w:rPr>
          <w:lang w:eastAsia="ja-JP"/>
        </w:rPr>
      </w:pPr>
      <w:r w:rsidRPr="008C6F2A">
        <w:rPr>
          <w:lang w:eastAsia="ja-JP"/>
        </w:rPr>
        <w:t xml:space="preserve">Allison, Paul D. 1995. </w:t>
      </w:r>
      <w:r w:rsidRPr="008C6F2A">
        <w:rPr>
          <w:i/>
          <w:iCs/>
          <w:lang w:eastAsia="ja-JP"/>
        </w:rPr>
        <w:t>Survival Analysis Using SAS: A Practical Guide</w:t>
      </w:r>
      <w:r w:rsidRPr="008C6F2A">
        <w:rPr>
          <w:lang w:eastAsia="ja-JP"/>
        </w:rPr>
        <w:t>. Cary, NC: SAS Institute.</w:t>
      </w:r>
    </w:p>
    <w:p w14:paraId="78962D74" w14:textId="77777777" w:rsidR="004624ED" w:rsidRPr="0044659A" w:rsidRDefault="004624ED" w:rsidP="004624ED">
      <w:pPr>
        <w:ind w:left="720" w:hanging="720"/>
        <w:contextualSpacing/>
        <w:rPr>
          <w:lang w:eastAsia="ja-JP"/>
        </w:rPr>
      </w:pPr>
      <w:r w:rsidRPr="00D62A4F">
        <w:rPr>
          <w:bCs/>
        </w:rPr>
        <w:t>Angrist</w:t>
      </w:r>
      <w:r>
        <w:rPr>
          <w:bCs/>
        </w:rPr>
        <w:t>, Joshua D.</w:t>
      </w:r>
      <w:r w:rsidRPr="00D62A4F">
        <w:rPr>
          <w:bCs/>
        </w:rPr>
        <w:t xml:space="preserve"> and </w:t>
      </w:r>
      <w:r>
        <w:rPr>
          <w:bCs/>
        </w:rPr>
        <w:t xml:space="preserve">Jorn-Steffen </w:t>
      </w:r>
      <w:r w:rsidRPr="00D62A4F">
        <w:rPr>
          <w:bCs/>
        </w:rPr>
        <w:t>Pischke</w:t>
      </w:r>
      <w:r>
        <w:rPr>
          <w:bCs/>
        </w:rPr>
        <w:t>.</w:t>
      </w:r>
      <w:r w:rsidRPr="00D62A4F">
        <w:rPr>
          <w:bCs/>
        </w:rPr>
        <w:t xml:space="preserve"> 2009</w:t>
      </w:r>
      <w:r>
        <w:rPr>
          <w:bCs/>
        </w:rPr>
        <w:t xml:space="preserve">. </w:t>
      </w:r>
      <w:r>
        <w:rPr>
          <w:bCs/>
          <w:i/>
        </w:rPr>
        <w:t>Mostly Harmless Econometrics: An Empiricist’s Companion.</w:t>
      </w:r>
      <w:r>
        <w:rPr>
          <w:bCs/>
        </w:rPr>
        <w:t xml:space="preserve"> </w:t>
      </w:r>
      <w:proofErr w:type="gramStart"/>
      <w:r>
        <w:rPr>
          <w:bCs/>
        </w:rPr>
        <w:t>Princeton University Press.</w:t>
      </w:r>
      <w:proofErr w:type="gramEnd"/>
      <w:r>
        <w:rPr>
          <w:bCs/>
        </w:rPr>
        <w:t xml:space="preserve"> </w:t>
      </w:r>
    </w:p>
    <w:p w14:paraId="345ABD98" w14:textId="77777777" w:rsidR="004624ED" w:rsidRPr="008C6F2A" w:rsidRDefault="004624ED" w:rsidP="004624ED">
      <w:pPr>
        <w:ind w:left="720" w:hanging="720"/>
        <w:contextualSpacing/>
      </w:pPr>
      <w:r w:rsidRPr="008C6F2A">
        <w:t xml:space="preserve">Ashforth, Blake E. and Glen E. Kreiner. 1999. “How Can You Do It? </w:t>
      </w:r>
      <w:proofErr w:type="gramStart"/>
      <w:r w:rsidRPr="008C6F2A">
        <w:t xml:space="preserve">Dirty Work and the Challenge of Constructing a Positive Identity” </w:t>
      </w:r>
      <w:r w:rsidRPr="008C6F2A">
        <w:rPr>
          <w:i/>
        </w:rPr>
        <w:t xml:space="preserve">Academy of Management Review </w:t>
      </w:r>
      <w:r w:rsidRPr="008C6F2A">
        <w:t>24(3): 413-434.</w:t>
      </w:r>
      <w:proofErr w:type="gramEnd"/>
    </w:p>
    <w:p w14:paraId="18282CD7" w14:textId="77777777" w:rsidR="004624ED" w:rsidRDefault="004624ED" w:rsidP="004624ED">
      <w:pPr>
        <w:ind w:left="720" w:hanging="720"/>
        <w:contextualSpacing/>
      </w:pPr>
      <w:r w:rsidRPr="008C6F2A">
        <w:t xml:space="preserve">Atkinson, William. 2003. “A View From the Top: The Growing Role of the Chief Risk Officer.” </w:t>
      </w:r>
      <w:r w:rsidRPr="008C6F2A">
        <w:rPr>
          <w:i/>
        </w:rPr>
        <w:t>RIMS Magazine &lt;</w:t>
      </w:r>
      <w:r w:rsidRPr="008C6F2A">
        <w:t>http://cf.rims.org/Magazine/PrintTemplate.cfm</w:t>
      </w:r>
      <w:proofErr w:type="gramStart"/>
      <w:r w:rsidRPr="008C6F2A">
        <w:t>?AID</w:t>
      </w:r>
      <w:proofErr w:type="gramEnd"/>
      <w:r w:rsidRPr="008C6F2A">
        <w:t>=3470&gt;.</w:t>
      </w:r>
    </w:p>
    <w:p w14:paraId="682A21B4" w14:textId="77777777" w:rsidR="000B0C6E" w:rsidRDefault="004624ED" w:rsidP="00DB29D0">
      <w:pPr>
        <w:tabs>
          <w:tab w:val="left" w:pos="3060"/>
        </w:tabs>
        <w:contextualSpacing/>
        <w:rPr>
          <w:rFonts w:eastAsia="Times New Roman"/>
        </w:rPr>
      </w:pPr>
      <w:r>
        <w:rPr>
          <w:rFonts w:eastAsia="Times New Roman"/>
        </w:rPr>
        <w:t xml:space="preserve">Banham, Russ. 2000. “Top Cops of Risk” </w:t>
      </w:r>
      <w:r>
        <w:rPr>
          <w:rFonts w:eastAsia="Times New Roman"/>
          <w:i/>
        </w:rPr>
        <w:t xml:space="preserve">CFO Magazine. </w:t>
      </w:r>
      <w:r w:rsidR="000B0C6E">
        <w:rPr>
          <w:rFonts w:eastAsia="Times New Roman"/>
        </w:rPr>
        <w:t>&lt;</w:t>
      </w:r>
      <w:r w:rsidR="000B0C6E" w:rsidRPr="000B0C6E">
        <w:rPr>
          <w:rFonts w:eastAsia="Times New Roman"/>
        </w:rPr>
        <w:t>http://ww2.cfo.com/risk-</w:t>
      </w:r>
    </w:p>
    <w:p w14:paraId="190F744C" w14:textId="335BF52C" w:rsidR="004624ED" w:rsidRPr="000B0C6E" w:rsidRDefault="000B0C6E" w:rsidP="000B0C6E">
      <w:pPr>
        <w:ind w:firstLine="720"/>
        <w:contextualSpacing/>
        <w:rPr>
          <w:rFonts w:eastAsia="Times New Roman"/>
        </w:rPr>
      </w:pPr>
      <w:proofErr w:type="gramStart"/>
      <w:r w:rsidRPr="000B0C6E">
        <w:rPr>
          <w:rFonts w:eastAsia="Times New Roman"/>
        </w:rPr>
        <w:t>compliance</w:t>
      </w:r>
      <w:proofErr w:type="gramEnd"/>
      <w:r w:rsidRPr="000B0C6E">
        <w:rPr>
          <w:rFonts w:eastAsia="Times New Roman"/>
        </w:rPr>
        <w:t>/2000/09/top-cops-of-risk/</w:t>
      </w:r>
      <w:r>
        <w:rPr>
          <w:rFonts w:eastAsia="Times New Roman"/>
        </w:rPr>
        <w:t>&gt;</w:t>
      </w:r>
    </w:p>
    <w:p w14:paraId="00ED36D2" w14:textId="77777777" w:rsidR="004624ED" w:rsidRDefault="004624ED" w:rsidP="004624ED">
      <w:pPr>
        <w:contextualSpacing/>
        <w:rPr>
          <w:rFonts w:eastAsia="Times New Roman"/>
          <w:i/>
        </w:rPr>
      </w:pPr>
      <w:r w:rsidRPr="00416BCD">
        <w:rPr>
          <w:rFonts w:eastAsia="Times New Roman"/>
        </w:rPr>
        <w:t>Banham</w:t>
      </w:r>
      <w:r>
        <w:rPr>
          <w:rFonts w:eastAsia="Times New Roman"/>
        </w:rPr>
        <w:t>, Russ.</w:t>
      </w:r>
      <w:r w:rsidRPr="00416BCD">
        <w:rPr>
          <w:rFonts w:eastAsia="Times New Roman"/>
        </w:rPr>
        <w:t xml:space="preserve"> 2004</w:t>
      </w:r>
      <w:r>
        <w:rPr>
          <w:rFonts w:eastAsia="Times New Roman"/>
        </w:rPr>
        <w:t xml:space="preserve">. “Enterprising Views of Risk Management” </w:t>
      </w:r>
      <w:r>
        <w:rPr>
          <w:rFonts w:eastAsia="Times New Roman"/>
          <w:i/>
        </w:rPr>
        <w:t xml:space="preserve">Journal of Accountancy </w:t>
      </w:r>
    </w:p>
    <w:p w14:paraId="275CB40A" w14:textId="77777777" w:rsidR="004624ED" w:rsidRPr="007A48E9" w:rsidRDefault="004624ED" w:rsidP="004624ED">
      <w:pPr>
        <w:ind w:firstLine="720"/>
        <w:contextualSpacing/>
        <w:rPr>
          <w:rFonts w:eastAsia="Times New Roman"/>
        </w:rPr>
      </w:pPr>
      <w:r>
        <w:rPr>
          <w:rFonts w:eastAsia="Times New Roman"/>
        </w:rPr>
        <w:t>1-8.</w:t>
      </w:r>
    </w:p>
    <w:p w14:paraId="2A739B62" w14:textId="77777777" w:rsidR="004624ED" w:rsidRDefault="004624ED" w:rsidP="004624ED">
      <w:pPr>
        <w:contextualSpacing/>
        <w:rPr>
          <w:rFonts w:eastAsia="Times New Roman"/>
          <w:color w:val="000000"/>
        </w:rPr>
      </w:pPr>
      <w:r>
        <w:rPr>
          <w:rFonts w:eastAsia="Times New Roman"/>
          <w:color w:val="000000"/>
        </w:rPr>
        <w:t xml:space="preserve">Baranoff, Etti G. 2004. “Mapping the Evolution of Risk Management” </w:t>
      </w:r>
      <w:r>
        <w:rPr>
          <w:rFonts w:eastAsia="Times New Roman"/>
          <w:i/>
          <w:color w:val="000000"/>
        </w:rPr>
        <w:t xml:space="preserve">Contingencies </w:t>
      </w:r>
      <w:r>
        <w:rPr>
          <w:rFonts w:eastAsia="Times New Roman"/>
          <w:color w:val="000000"/>
        </w:rPr>
        <w:t>22-</w:t>
      </w:r>
    </w:p>
    <w:p w14:paraId="301CC2FA" w14:textId="77777777" w:rsidR="004624ED" w:rsidRDefault="004624ED" w:rsidP="004624ED">
      <w:pPr>
        <w:ind w:firstLine="720"/>
        <w:contextualSpacing/>
        <w:rPr>
          <w:rFonts w:eastAsia="Times New Roman"/>
          <w:color w:val="000000"/>
        </w:rPr>
      </w:pPr>
      <w:r>
        <w:rPr>
          <w:rFonts w:eastAsia="Times New Roman"/>
          <w:color w:val="000000"/>
        </w:rPr>
        <w:t>27.</w:t>
      </w:r>
    </w:p>
    <w:p w14:paraId="5A70ADC6" w14:textId="77777777" w:rsidR="004624ED" w:rsidRDefault="004624ED" w:rsidP="004624ED">
      <w:pPr>
        <w:contextualSpacing/>
        <w:rPr>
          <w:rFonts w:eastAsia="Times New Roman"/>
          <w:color w:val="000000"/>
        </w:rPr>
      </w:pPr>
      <w:r>
        <w:rPr>
          <w:rFonts w:eastAsia="Times New Roman"/>
          <w:color w:val="000000"/>
        </w:rPr>
        <w:t xml:space="preserve">Barboza, David and Jeff Gerth. 1998. “On Regulating Derivatives; Long-Term Capital </w:t>
      </w:r>
    </w:p>
    <w:p w14:paraId="2FC768EC" w14:textId="77777777" w:rsidR="004624ED" w:rsidRDefault="004624ED" w:rsidP="004624ED">
      <w:pPr>
        <w:ind w:firstLine="720"/>
        <w:contextualSpacing/>
        <w:rPr>
          <w:rFonts w:eastAsia="Times New Roman"/>
          <w:i/>
          <w:color w:val="000000"/>
        </w:rPr>
      </w:pPr>
      <w:proofErr w:type="gramStart"/>
      <w:r>
        <w:rPr>
          <w:rFonts w:eastAsia="Times New Roman"/>
          <w:color w:val="000000"/>
        </w:rPr>
        <w:t xml:space="preserve">Bailout Prompts Calls for Action” </w:t>
      </w:r>
      <w:r>
        <w:rPr>
          <w:rFonts w:eastAsia="Times New Roman"/>
          <w:i/>
          <w:color w:val="000000"/>
        </w:rPr>
        <w:t>The New York Times.</w:t>
      </w:r>
      <w:proofErr w:type="gramEnd"/>
      <w:r>
        <w:rPr>
          <w:rFonts w:eastAsia="Times New Roman"/>
          <w:i/>
          <w:color w:val="000000"/>
        </w:rPr>
        <w:t xml:space="preserve"> </w:t>
      </w:r>
      <w:r>
        <w:rPr>
          <w:rFonts w:eastAsia="Times New Roman"/>
          <w:color w:val="000000"/>
        </w:rPr>
        <w:t>December 15.</w:t>
      </w:r>
      <w:r>
        <w:rPr>
          <w:rFonts w:eastAsia="Times New Roman"/>
          <w:i/>
          <w:color w:val="000000"/>
        </w:rPr>
        <w:t xml:space="preserve"> </w:t>
      </w:r>
    </w:p>
    <w:p w14:paraId="5CC805FD" w14:textId="77777777" w:rsidR="009B2D36" w:rsidRDefault="00AC5F24" w:rsidP="004624ED">
      <w:pPr>
        <w:contextualSpacing/>
        <w:rPr>
          <w:rFonts w:eastAsia="Times New Roman"/>
          <w:color w:val="000000"/>
        </w:rPr>
      </w:pPr>
      <w:proofErr w:type="gramStart"/>
      <w:r>
        <w:rPr>
          <w:rFonts w:eastAsia="Times New Roman"/>
          <w:color w:val="000000"/>
        </w:rPr>
        <w:t>Basel Committee on Banking Supervision.</w:t>
      </w:r>
      <w:proofErr w:type="gramEnd"/>
      <w:r>
        <w:rPr>
          <w:rFonts w:eastAsia="Times New Roman"/>
          <w:color w:val="000000"/>
        </w:rPr>
        <w:t xml:space="preserve"> </w:t>
      </w:r>
      <w:r w:rsidR="009B2D36">
        <w:rPr>
          <w:rFonts w:eastAsia="Times New Roman"/>
          <w:color w:val="000000"/>
        </w:rPr>
        <w:t xml:space="preserve">2004. “Basel II: Revised International Capital </w:t>
      </w:r>
    </w:p>
    <w:p w14:paraId="404C7E8C" w14:textId="166472EB" w:rsidR="00AC5F24" w:rsidRDefault="009B2D36" w:rsidP="009B2D36">
      <w:pPr>
        <w:ind w:firstLine="720"/>
        <w:contextualSpacing/>
        <w:rPr>
          <w:rFonts w:eastAsia="Times New Roman"/>
          <w:color w:val="000000"/>
        </w:rPr>
      </w:pPr>
      <w:proofErr w:type="gramStart"/>
      <w:r>
        <w:rPr>
          <w:rFonts w:eastAsia="Times New Roman"/>
          <w:color w:val="000000"/>
        </w:rPr>
        <w:t>Framework” June.</w:t>
      </w:r>
      <w:proofErr w:type="gramEnd"/>
      <w:r>
        <w:rPr>
          <w:rFonts w:eastAsia="Times New Roman"/>
          <w:color w:val="000000"/>
        </w:rPr>
        <w:t xml:space="preserve"> &lt;</w:t>
      </w:r>
      <w:r w:rsidRPr="009B2D36">
        <w:rPr>
          <w:rFonts w:eastAsia="Times New Roman"/>
          <w:color w:val="000000"/>
        </w:rPr>
        <w:t>http://www.bis.org/publ/bcbsca.htm</w:t>
      </w:r>
      <w:r>
        <w:rPr>
          <w:rFonts w:eastAsia="Times New Roman"/>
          <w:color w:val="000000"/>
        </w:rPr>
        <w:t>&gt;</w:t>
      </w:r>
    </w:p>
    <w:p w14:paraId="1010FBC1" w14:textId="77777777" w:rsidR="004624ED" w:rsidRDefault="004624ED" w:rsidP="004624ED">
      <w:pPr>
        <w:contextualSpacing/>
        <w:rPr>
          <w:rFonts w:eastAsia="Times New Roman"/>
          <w:color w:val="000000"/>
        </w:rPr>
      </w:pPr>
      <w:r>
        <w:rPr>
          <w:rFonts w:eastAsia="Times New Roman"/>
          <w:color w:val="000000"/>
        </w:rPr>
        <w:t>Bass, Kyle J. 2010. “</w:t>
      </w:r>
      <w:r w:rsidRPr="00BC1F0F">
        <w:rPr>
          <w:rFonts w:eastAsia="Times New Roman"/>
          <w:color w:val="000000"/>
        </w:rPr>
        <w:t xml:space="preserve">Testimony before the Financial Crisis Inquiry Commission Hearing </w:t>
      </w:r>
    </w:p>
    <w:p w14:paraId="7696E2AB" w14:textId="77777777" w:rsidR="004624ED" w:rsidRPr="00BC1F0F" w:rsidRDefault="004624ED" w:rsidP="004624ED">
      <w:pPr>
        <w:ind w:left="720"/>
        <w:contextualSpacing/>
        <w:rPr>
          <w:rFonts w:eastAsia="Times New Roman"/>
          <w:color w:val="000000"/>
        </w:rPr>
      </w:pPr>
      <w:proofErr w:type="gramStart"/>
      <w:r w:rsidRPr="00BC1F0F">
        <w:rPr>
          <w:rFonts w:eastAsia="Times New Roman"/>
          <w:color w:val="000000"/>
        </w:rPr>
        <w:t>on</w:t>
      </w:r>
      <w:proofErr w:type="gramEnd"/>
      <w:r w:rsidRPr="00BC1F0F">
        <w:rPr>
          <w:rFonts w:eastAsia="Times New Roman"/>
          <w:color w:val="000000"/>
        </w:rPr>
        <w:t xml:space="preserve"> The Financial Crisis</w:t>
      </w:r>
      <w:r>
        <w:rPr>
          <w:rFonts w:eastAsia="Times New Roman"/>
          <w:color w:val="000000"/>
        </w:rPr>
        <w:t>” January 13. &lt;</w:t>
      </w:r>
      <w:r w:rsidRPr="00BC1F0F">
        <w:rPr>
          <w:rFonts w:eastAsia="Times New Roman"/>
          <w:color w:val="000000"/>
        </w:rPr>
        <w:t>http://fcic-static.law.stanford.edu/cdn_media/fcic-testimony/2010-0113-Bass.pdf</w:t>
      </w:r>
      <w:r>
        <w:rPr>
          <w:rFonts w:eastAsia="Times New Roman"/>
          <w:color w:val="000000"/>
        </w:rPr>
        <w:t>&gt;</w:t>
      </w:r>
    </w:p>
    <w:p w14:paraId="1582A5DF" w14:textId="77777777" w:rsidR="004624ED" w:rsidRPr="00026E76" w:rsidRDefault="004624ED" w:rsidP="004624ED">
      <w:pPr>
        <w:contextualSpacing/>
        <w:rPr>
          <w:rFonts w:eastAsia="Times New Roman"/>
          <w:i/>
          <w:iCs/>
          <w:color w:val="222222"/>
          <w:shd w:val="clear" w:color="auto" w:fill="FFFFFF"/>
        </w:rPr>
      </w:pPr>
      <w:r w:rsidRPr="00026E76">
        <w:rPr>
          <w:rFonts w:eastAsia="Times New Roman"/>
          <w:color w:val="222222"/>
          <w:shd w:val="clear" w:color="auto" w:fill="FFFFFF"/>
        </w:rPr>
        <w:t>Becketti, Sean. 1993. "Are Derivatives Too Risky for Banks?" </w:t>
      </w:r>
      <w:r w:rsidRPr="00026E76">
        <w:rPr>
          <w:rFonts w:eastAsia="Times New Roman"/>
          <w:i/>
          <w:iCs/>
          <w:color w:val="222222"/>
          <w:shd w:val="clear" w:color="auto" w:fill="FFFFFF"/>
        </w:rPr>
        <w:t xml:space="preserve">Economic Review-Federal </w:t>
      </w:r>
    </w:p>
    <w:p w14:paraId="50221748" w14:textId="77777777" w:rsidR="004624ED" w:rsidRPr="008C6F2A" w:rsidRDefault="004624ED" w:rsidP="004624ED">
      <w:pPr>
        <w:ind w:firstLine="720"/>
        <w:contextualSpacing/>
        <w:rPr>
          <w:rFonts w:eastAsia="Times New Roman"/>
        </w:rPr>
      </w:pPr>
      <w:proofErr w:type="gramStart"/>
      <w:r w:rsidRPr="00026E76">
        <w:rPr>
          <w:rFonts w:eastAsia="Times New Roman"/>
          <w:i/>
          <w:iCs/>
          <w:color w:val="222222"/>
          <w:shd w:val="clear" w:color="auto" w:fill="FFFFFF"/>
        </w:rPr>
        <w:t>Reserve Bank of Kansas City</w:t>
      </w:r>
      <w:r w:rsidRPr="00026E76">
        <w:rPr>
          <w:rFonts w:eastAsia="Times New Roman"/>
          <w:color w:val="222222"/>
          <w:shd w:val="clear" w:color="auto" w:fill="FFFFFF"/>
        </w:rPr>
        <w:t> 78: 27-42.</w:t>
      </w:r>
      <w:proofErr w:type="gramEnd"/>
    </w:p>
    <w:p w14:paraId="46E3F2A2" w14:textId="77777777" w:rsidR="004624ED" w:rsidRDefault="004624ED" w:rsidP="004624ED">
      <w:pPr>
        <w:ind w:left="720" w:hanging="720"/>
        <w:contextualSpacing/>
        <w:rPr>
          <w:iCs/>
        </w:rPr>
      </w:pPr>
      <w:r w:rsidRPr="008C6F2A">
        <w:rPr>
          <w:iCs/>
        </w:rPr>
        <w:t xml:space="preserve">Berle, Adolph A., and Gardiner Means. 1932. </w:t>
      </w:r>
      <w:r w:rsidRPr="008C6F2A">
        <w:rPr>
          <w:i/>
          <w:iCs/>
        </w:rPr>
        <w:t>The Modern Corporation and Private Property</w:t>
      </w:r>
      <w:r w:rsidRPr="008C6F2A">
        <w:rPr>
          <w:iCs/>
        </w:rPr>
        <w:t>. New York: Harcourt Brace.</w:t>
      </w:r>
    </w:p>
    <w:p w14:paraId="31E003A6" w14:textId="77777777" w:rsidR="004624ED" w:rsidRDefault="004624ED" w:rsidP="004624ED">
      <w:pPr>
        <w:ind w:left="720" w:hanging="720"/>
        <w:contextualSpacing/>
        <w:rPr>
          <w:rFonts w:ascii="Times" w:eastAsia="Times New Roman" w:hAnsi="Times"/>
        </w:rPr>
      </w:pPr>
      <w:r>
        <w:rPr>
          <w:rFonts w:ascii="Times" w:eastAsia="Times New Roman" w:hAnsi="Times"/>
        </w:rPr>
        <w:t>Booth, James R., Richard L. Smith, and Richard W. Stolz. 1984. “</w:t>
      </w:r>
      <w:r w:rsidRPr="00F72D30">
        <w:rPr>
          <w:rFonts w:ascii="Times" w:eastAsia="Times New Roman" w:hAnsi="Times"/>
        </w:rPr>
        <w:t>Use of Interest Rate Fu</w:t>
      </w:r>
      <w:r>
        <w:rPr>
          <w:rFonts w:ascii="Times" w:eastAsia="Times New Roman" w:hAnsi="Times"/>
        </w:rPr>
        <w:t>tures by Financial Institutions</w:t>
      </w:r>
      <w:r w:rsidRPr="00F72D30">
        <w:rPr>
          <w:rFonts w:ascii="Times" w:eastAsia="Times New Roman" w:hAnsi="Times"/>
        </w:rPr>
        <w:t>”</w:t>
      </w:r>
      <w:r>
        <w:rPr>
          <w:rFonts w:ascii="Times" w:eastAsia="Times New Roman" w:hAnsi="Times"/>
        </w:rPr>
        <w:t xml:space="preserve"> 15:15-20.</w:t>
      </w:r>
    </w:p>
    <w:p w14:paraId="0BF7B725" w14:textId="46816CEE" w:rsidR="00D30359" w:rsidRPr="00F72D30" w:rsidRDefault="00D30359" w:rsidP="004624ED">
      <w:pPr>
        <w:ind w:left="720" w:hanging="720"/>
        <w:contextualSpacing/>
        <w:rPr>
          <w:rFonts w:ascii="Times" w:eastAsia="Times New Roman" w:hAnsi="Times"/>
        </w:rPr>
      </w:pPr>
      <w:proofErr w:type="gramStart"/>
      <w:r>
        <w:rPr>
          <w:rFonts w:ascii="Times" w:eastAsia="Times New Roman" w:hAnsi="Times"/>
        </w:rPr>
        <w:t>Brewer, Elijah III and Julapa Jagtiani.</w:t>
      </w:r>
      <w:proofErr w:type="gramEnd"/>
      <w:r>
        <w:rPr>
          <w:rFonts w:ascii="Times" w:eastAsia="Times New Roman" w:hAnsi="Times"/>
        </w:rPr>
        <w:t xml:space="preserve"> </w:t>
      </w:r>
      <w:r w:rsidR="00ED7424">
        <w:rPr>
          <w:rFonts w:ascii="Times" w:eastAsia="Times New Roman" w:hAnsi="Times"/>
        </w:rPr>
        <w:t xml:space="preserve">2007. </w:t>
      </w:r>
      <w:r>
        <w:rPr>
          <w:rFonts w:ascii="Times" w:eastAsia="Times New Roman" w:hAnsi="Times"/>
        </w:rPr>
        <w:t>“How Much Would Banks Be Willing to Pay to Become ‘Too-Big-to-Fail’ and to Capture Other Benefits</w:t>
      </w:r>
      <w:r w:rsidR="00ED7424">
        <w:rPr>
          <w:rFonts w:ascii="Times" w:eastAsia="Times New Roman" w:hAnsi="Times"/>
        </w:rPr>
        <w:t>?</w:t>
      </w:r>
      <w:r>
        <w:rPr>
          <w:rFonts w:ascii="Times" w:eastAsia="Times New Roman" w:hAnsi="Times"/>
        </w:rPr>
        <w:t xml:space="preserve">” </w:t>
      </w:r>
      <w:proofErr w:type="gramStart"/>
      <w:r w:rsidR="00ED7424">
        <w:rPr>
          <w:rFonts w:ascii="Times" w:eastAsia="Times New Roman" w:hAnsi="Times"/>
          <w:i/>
        </w:rPr>
        <w:t>The Federal Reserve Bank of Kansas City Economic Research Department.</w:t>
      </w:r>
      <w:proofErr w:type="gramEnd"/>
      <w:r w:rsidR="00ED7424">
        <w:rPr>
          <w:rFonts w:ascii="Times" w:eastAsia="Times New Roman" w:hAnsi="Times"/>
          <w:i/>
        </w:rPr>
        <w:t xml:space="preserve"> </w:t>
      </w:r>
      <w:r w:rsidR="00ED7424">
        <w:rPr>
          <w:rFonts w:ascii="Times" w:eastAsia="Times New Roman" w:hAnsi="Times"/>
        </w:rPr>
        <w:t>RWP 07-05.</w:t>
      </w:r>
      <w:r>
        <w:rPr>
          <w:rFonts w:ascii="Times" w:eastAsia="Times New Roman" w:hAnsi="Times"/>
        </w:rPr>
        <w:t xml:space="preserve"> </w:t>
      </w:r>
    </w:p>
    <w:p w14:paraId="79F8C620" w14:textId="77777777" w:rsidR="004624ED" w:rsidRDefault="004624ED" w:rsidP="004624ED">
      <w:pPr>
        <w:pStyle w:val="CommentText"/>
      </w:pPr>
      <w:proofErr w:type="gramStart"/>
      <w:r>
        <w:t>Brewer, Elijah III, William E. Jackson III, and James T. Moser</w:t>
      </w:r>
      <w:r w:rsidRPr="00343E39">
        <w:t>.</w:t>
      </w:r>
      <w:proofErr w:type="gramEnd"/>
      <w:r w:rsidRPr="00343E39">
        <w:t xml:space="preserve"> (1996). </w:t>
      </w:r>
      <w:r>
        <w:t xml:space="preserve">“Alligators in the </w:t>
      </w:r>
    </w:p>
    <w:p w14:paraId="57D5BD1F" w14:textId="77777777" w:rsidR="004624ED" w:rsidRPr="00264074" w:rsidRDefault="004624ED" w:rsidP="004624ED">
      <w:pPr>
        <w:pStyle w:val="CommentText"/>
        <w:ind w:left="720"/>
      </w:pPr>
      <w:r>
        <w:t>S</w:t>
      </w:r>
      <w:r w:rsidRPr="00343E39">
        <w:t xml:space="preserve">wamp: </w:t>
      </w:r>
      <w:r>
        <w:t>The Impact of D</w:t>
      </w:r>
      <w:r w:rsidRPr="00343E39">
        <w:t xml:space="preserve">erivatives on </w:t>
      </w:r>
      <w:r>
        <w:t>the F</w:t>
      </w:r>
      <w:r w:rsidRPr="00343E39">
        <w:t>ina</w:t>
      </w:r>
      <w:r>
        <w:t>ncial Performance of Depository Institutions”</w:t>
      </w:r>
      <w:r w:rsidRPr="00343E39">
        <w:rPr>
          <w:i/>
          <w:iCs/>
        </w:rPr>
        <w:t> Journa</w:t>
      </w:r>
      <w:r>
        <w:rPr>
          <w:i/>
          <w:iCs/>
        </w:rPr>
        <w:t>l of Money, Credit, and Banking</w:t>
      </w:r>
      <w:r w:rsidRPr="00343E39">
        <w:rPr>
          <w:i/>
          <w:iCs/>
        </w:rPr>
        <w:t> </w:t>
      </w:r>
      <w:r w:rsidRPr="00E101AC">
        <w:rPr>
          <w:iCs/>
        </w:rPr>
        <w:t>28</w:t>
      </w:r>
      <w:r w:rsidRPr="00E101AC">
        <w:t>(</w:t>
      </w:r>
      <w:r>
        <w:t>3):</w:t>
      </w:r>
      <w:r w:rsidRPr="00343E39">
        <w:t xml:space="preserve"> 482-497. </w:t>
      </w:r>
    </w:p>
    <w:p w14:paraId="3DC54613" w14:textId="77777777" w:rsidR="004624ED" w:rsidRPr="008C6F2A" w:rsidRDefault="004624ED" w:rsidP="004624ED">
      <w:pPr>
        <w:ind w:left="720" w:hanging="720"/>
        <w:contextualSpacing/>
        <w:rPr>
          <w:noProof/>
        </w:rPr>
      </w:pPr>
      <w:r w:rsidRPr="008C6F2A">
        <w:rPr>
          <w:noProof/>
        </w:rPr>
        <w:t xml:space="preserve">Burns, Natasha and Simi Kedia. 2006. “The Impact of Performance-Based Compensation on Misreporting.” </w:t>
      </w:r>
      <w:r w:rsidRPr="008C6F2A">
        <w:rPr>
          <w:i/>
          <w:noProof/>
        </w:rPr>
        <w:t>Journal of Financial Economics</w:t>
      </w:r>
      <w:r w:rsidRPr="008C6F2A">
        <w:rPr>
          <w:noProof/>
        </w:rPr>
        <w:t xml:space="preserve"> 79(1):35-67.</w:t>
      </w:r>
    </w:p>
    <w:p w14:paraId="3145429D" w14:textId="77777777" w:rsidR="00177BF3" w:rsidRDefault="004624ED" w:rsidP="00177BF3">
      <w:pPr>
        <w:contextualSpacing/>
      </w:pPr>
      <w:r w:rsidRPr="00894389">
        <w:t>Carmichael</w:t>
      </w:r>
      <w:r>
        <w:t>, D.R.</w:t>
      </w:r>
      <w:r w:rsidRPr="00894389">
        <w:t xml:space="preserve"> and </w:t>
      </w:r>
      <w:r>
        <w:t xml:space="preserve">Paul H </w:t>
      </w:r>
      <w:r w:rsidRPr="00894389">
        <w:t>Rosenfield</w:t>
      </w:r>
      <w:r>
        <w:t>.</w:t>
      </w:r>
      <w:r w:rsidRPr="00894389">
        <w:t xml:space="preserve"> 2003</w:t>
      </w:r>
      <w:r>
        <w:t xml:space="preserve">. </w:t>
      </w:r>
      <w:r w:rsidR="001671CE">
        <w:t xml:space="preserve">“Chapter 29: Financial Institutions” </w:t>
      </w:r>
    </w:p>
    <w:p w14:paraId="1FA7AF8E" w14:textId="49195541" w:rsidR="004624ED" w:rsidRPr="00177BF3" w:rsidRDefault="004624ED" w:rsidP="00177BF3">
      <w:pPr>
        <w:ind w:left="720"/>
        <w:contextualSpacing/>
        <w:rPr>
          <w:bCs/>
          <w:i/>
        </w:rPr>
      </w:pPr>
      <w:r>
        <w:rPr>
          <w:i/>
        </w:rPr>
        <w:lastRenderedPageBreak/>
        <w:t>Accountants’ Handbook</w:t>
      </w:r>
      <w:r w:rsidRPr="008C28DF">
        <w:rPr>
          <w:i/>
        </w:rPr>
        <w:t xml:space="preserve">: </w:t>
      </w:r>
      <w:r w:rsidRPr="008C28DF">
        <w:rPr>
          <w:bCs/>
          <w:i/>
        </w:rPr>
        <w:t>Financial Accounting and General Topics</w:t>
      </w:r>
      <w:r>
        <w:rPr>
          <w:bCs/>
          <w:i/>
        </w:rPr>
        <w:t xml:space="preserve">. </w:t>
      </w:r>
      <w:r w:rsidR="001671CE">
        <w:rPr>
          <w:bCs/>
        </w:rPr>
        <w:t xml:space="preserve">Volume 2. </w:t>
      </w:r>
      <w:r>
        <w:rPr>
          <w:bCs/>
        </w:rPr>
        <w:t>John Wiley and Sons.</w:t>
      </w:r>
    </w:p>
    <w:p w14:paraId="7F06A536" w14:textId="77777777" w:rsidR="004624ED" w:rsidRPr="008C6F2A" w:rsidRDefault="004624ED" w:rsidP="004624ED">
      <w:pPr>
        <w:contextualSpacing/>
        <w:rPr>
          <w:rFonts w:eastAsia="Times New Roman"/>
        </w:rPr>
      </w:pPr>
      <w:r w:rsidRPr="008C6F2A">
        <w:rPr>
          <w:rFonts w:eastAsia="Times New Roman"/>
        </w:rPr>
        <w:t xml:space="preserve">Carruthers, Bruce. 2010. “Knowledge and Liquidity: Institutional and Cognitive </w:t>
      </w:r>
    </w:p>
    <w:p w14:paraId="3CFD0586" w14:textId="3D5C3D36" w:rsidR="004624ED" w:rsidRDefault="004624ED" w:rsidP="004624ED">
      <w:pPr>
        <w:ind w:left="720"/>
        <w:contextualSpacing/>
        <w:rPr>
          <w:rFonts w:eastAsia="Times New Roman"/>
        </w:rPr>
      </w:pPr>
      <w:r w:rsidRPr="008C6F2A">
        <w:rPr>
          <w:rFonts w:eastAsia="Times New Roman"/>
        </w:rPr>
        <w:t xml:space="preserve">Foundations of the Subprime Crisis.” </w:t>
      </w:r>
      <w:r w:rsidRPr="00D15AEA">
        <w:rPr>
          <w:i/>
        </w:rPr>
        <w:t>Research in the Sociology of Organizations</w:t>
      </w:r>
      <w:r w:rsidR="00CB1D35">
        <w:rPr>
          <w:i/>
        </w:rPr>
        <w:t xml:space="preserve"> </w:t>
      </w:r>
      <w:r w:rsidR="00CB1D35">
        <w:t xml:space="preserve">30: </w:t>
      </w:r>
      <w:r w:rsidR="005C1256">
        <w:t>157-182.</w:t>
      </w:r>
    </w:p>
    <w:p w14:paraId="51C9B7BA" w14:textId="77777777" w:rsidR="004624ED" w:rsidRDefault="004624ED" w:rsidP="004624ED">
      <w:pPr>
        <w:contextualSpacing/>
        <w:rPr>
          <w:rFonts w:ascii="Times" w:eastAsia="Times New Roman" w:hAnsi="Times"/>
        </w:rPr>
      </w:pPr>
      <w:r w:rsidRPr="00870F6B">
        <w:rPr>
          <w:rFonts w:ascii="Times" w:eastAsia="Times New Roman" w:hAnsi="Times"/>
        </w:rPr>
        <w:t>Carter</w:t>
      </w:r>
      <w:r>
        <w:rPr>
          <w:rFonts w:ascii="Times" w:eastAsia="Times New Roman" w:hAnsi="Times"/>
        </w:rPr>
        <w:t>, David</w:t>
      </w:r>
      <w:r w:rsidRPr="00870F6B">
        <w:rPr>
          <w:rFonts w:ascii="Times" w:eastAsia="Times New Roman" w:hAnsi="Times"/>
        </w:rPr>
        <w:t xml:space="preserve"> and </w:t>
      </w:r>
      <w:r>
        <w:rPr>
          <w:rFonts w:ascii="Times" w:eastAsia="Times New Roman" w:hAnsi="Times"/>
        </w:rPr>
        <w:t xml:space="preserve">Joseph </w:t>
      </w:r>
      <w:r w:rsidRPr="00870F6B">
        <w:rPr>
          <w:rFonts w:ascii="Times" w:eastAsia="Times New Roman" w:hAnsi="Times"/>
        </w:rPr>
        <w:t>Sinkey</w:t>
      </w:r>
      <w:r>
        <w:rPr>
          <w:rFonts w:ascii="Times" w:eastAsia="Times New Roman" w:hAnsi="Times"/>
        </w:rPr>
        <w:t>.</w:t>
      </w:r>
      <w:r w:rsidRPr="00870F6B">
        <w:rPr>
          <w:rFonts w:ascii="Times" w:eastAsia="Times New Roman" w:hAnsi="Times"/>
        </w:rPr>
        <w:t xml:space="preserve"> 1998</w:t>
      </w:r>
      <w:r>
        <w:rPr>
          <w:rFonts w:ascii="Times" w:eastAsia="Times New Roman" w:hAnsi="Times"/>
        </w:rPr>
        <w:t>. “The Use of Interest Rate Derivatives by End-</w:t>
      </w:r>
    </w:p>
    <w:p w14:paraId="429A3070" w14:textId="77777777" w:rsidR="004624ED" w:rsidRPr="00D16C27" w:rsidRDefault="004624ED" w:rsidP="004624ED">
      <w:pPr>
        <w:ind w:left="720"/>
        <w:contextualSpacing/>
        <w:rPr>
          <w:rFonts w:eastAsia="Times New Roman"/>
        </w:rPr>
      </w:pPr>
      <w:r>
        <w:rPr>
          <w:rFonts w:ascii="Times" w:eastAsia="Times New Roman" w:hAnsi="Times"/>
        </w:rPr>
        <w:t xml:space="preserve">Users: The Case of Large Community Banks” </w:t>
      </w:r>
      <w:r>
        <w:rPr>
          <w:rFonts w:ascii="Times" w:eastAsia="Times New Roman" w:hAnsi="Times"/>
          <w:i/>
        </w:rPr>
        <w:t xml:space="preserve">Journal of Financial Services Research </w:t>
      </w:r>
      <w:r>
        <w:rPr>
          <w:rFonts w:ascii="Times" w:eastAsia="Times New Roman" w:hAnsi="Times"/>
        </w:rPr>
        <w:t>14(1)</w:t>
      </w:r>
      <w:proofErr w:type="gramStart"/>
      <w:r>
        <w:rPr>
          <w:rFonts w:ascii="Times" w:eastAsia="Times New Roman" w:hAnsi="Times"/>
        </w:rPr>
        <w:t>:17</w:t>
      </w:r>
      <w:proofErr w:type="gramEnd"/>
      <w:r>
        <w:rPr>
          <w:rFonts w:ascii="Times" w:eastAsia="Times New Roman" w:hAnsi="Times"/>
        </w:rPr>
        <w:t xml:space="preserve">-34. </w:t>
      </w:r>
    </w:p>
    <w:p w14:paraId="304118AC" w14:textId="77777777" w:rsidR="004624ED" w:rsidRDefault="004624ED" w:rsidP="004624ED">
      <w:pPr>
        <w:contextualSpacing/>
        <w:rPr>
          <w:rFonts w:eastAsia="Times New Roman"/>
          <w:i/>
          <w:color w:val="000000"/>
        </w:rPr>
      </w:pPr>
      <w:proofErr w:type="gramStart"/>
      <w:r w:rsidRPr="0083115C">
        <w:rPr>
          <w:rFonts w:eastAsia="Times New Roman"/>
          <w:color w:val="000000"/>
        </w:rPr>
        <w:t>Collins</w:t>
      </w:r>
      <w:r>
        <w:rPr>
          <w:rFonts w:eastAsia="Times New Roman"/>
          <w:color w:val="000000"/>
        </w:rPr>
        <w:t>, Bruce M.</w:t>
      </w:r>
      <w:r w:rsidRPr="0083115C">
        <w:rPr>
          <w:rFonts w:eastAsia="Times New Roman"/>
          <w:color w:val="000000"/>
        </w:rPr>
        <w:t xml:space="preserve"> and </w:t>
      </w:r>
      <w:r>
        <w:rPr>
          <w:rFonts w:eastAsia="Times New Roman"/>
          <w:color w:val="000000"/>
        </w:rPr>
        <w:t xml:space="preserve">Frank J. </w:t>
      </w:r>
      <w:r w:rsidRPr="0083115C">
        <w:rPr>
          <w:rFonts w:eastAsia="Times New Roman"/>
          <w:color w:val="000000"/>
        </w:rPr>
        <w:t>Fabozzi</w:t>
      </w:r>
      <w:r>
        <w:rPr>
          <w:rFonts w:eastAsia="Times New Roman"/>
          <w:color w:val="000000"/>
        </w:rPr>
        <w:t>.</w:t>
      </w:r>
      <w:proofErr w:type="gramEnd"/>
      <w:r>
        <w:rPr>
          <w:rFonts w:eastAsia="Times New Roman"/>
          <w:color w:val="000000"/>
        </w:rPr>
        <w:t xml:space="preserve"> </w:t>
      </w:r>
      <w:r w:rsidRPr="0083115C">
        <w:rPr>
          <w:rFonts w:eastAsia="Times New Roman"/>
          <w:color w:val="000000"/>
        </w:rPr>
        <w:t>1999</w:t>
      </w:r>
      <w:r>
        <w:rPr>
          <w:rFonts w:eastAsia="Times New Roman"/>
          <w:color w:val="000000"/>
        </w:rPr>
        <w:t xml:space="preserve">. </w:t>
      </w:r>
      <w:r>
        <w:rPr>
          <w:rFonts w:eastAsia="Times New Roman"/>
          <w:i/>
          <w:color w:val="000000"/>
        </w:rPr>
        <w:t xml:space="preserve">Derivatives and Equity Portfolio </w:t>
      </w:r>
    </w:p>
    <w:p w14:paraId="45BC45AD" w14:textId="77777777" w:rsidR="00260DD1" w:rsidRDefault="004624ED" w:rsidP="004624ED">
      <w:pPr>
        <w:ind w:firstLine="720"/>
        <w:contextualSpacing/>
        <w:rPr>
          <w:rFonts w:eastAsia="Times New Roman"/>
          <w:color w:val="000000"/>
        </w:rPr>
      </w:pPr>
      <w:r>
        <w:rPr>
          <w:rFonts w:eastAsia="Times New Roman"/>
          <w:i/>
          <w:color w:val="000000"/>
        </w:rPr>
        <w:t>Management.</w:t>
      </w:r>
      <w:r>
        <w:rPr>
          <w:rFonts w:eastAsia="Times New Roman"/>
          <w:color w:val="000000"/>
        </w:rPr>
        <w:t xml:space="preserve"> New Hope, Pennsylvania: Wiley.</w:t>
      </w:r>
    </w:p>
    <w:p w14:paraId="0DEE5C4C" w14:textId="095A8325" w:rsidR="00AF58BC" w:rsidRDefault="00AF58BC" w:rsidP="00AF58BC">
      <w:pPr>
        <w:contextualSpacing/>
        <w:rPr>
          <w:rFonts w:eastAsia="Times New Roman"/>
          <w:bCs/>
          <w:color w:val="000000"/>
        </w:rPr>
      </w:pPr>
      <w:proofErr w:type="gramStart"/>
      <w:r w:rsidRPr="00AF58BC">
        <w:rPr>
          <w:rFonts w:eastAsia="Times New Roman"/>
          <w:bCs/>
          <w:color w:val="000000"/>
        </w:rPr>
        <w:t>Committee of Sponsoring Organizations</w:t>
      </w:r>
      <w:r w:rsidRPr="00AF58BC">
        <w:rPr>
          <w:rFonts w:eastAsia="Times New Roman"/>
          <w:color w:val="000000"/>
        </w:rPr>
        <w:t> of the </w:t>
      </w:r>
      <w:r w:rsidRPr="00AF58BC">
        <w:rPr>
          <w:rFonts w:eastAsia="Times New Roman"/>
          <w:bCs/>
          <w:color w:val="000000"/>
        </w:rPr>
        <w:t>Treadway Commission (COSO).</w:t>
      </w:r>
      <w:proofErr w:type="gramEnd"/>
      <w:r w:rsidRPr="00AF58BC">
        <w:rPr>
          <w:rFonts w:eastAsia="Times New Roman"/>
          <w:bCs/>
          <w:color w:val="000000"/>
        </w:rPr>
        <w:t xml:space="preserve"> 1992. </w:t>
      </w:r>
      <w:r>
        <w:rPr>
          <w:rFonts w:eastAsia="Times New Roman"/>
          <w:bCs/>
          <w:color w:val="000000"/>
        </w:rPr>
        <w:t xml:space="preserve">“Internal </w:t>
      </w:r>
    </w:p>
    <w:p w14:paraId="3CC0131A" w14:textId="6D2F2191" w:rsidR="00AF58BC" w:rsidRDefault="00AF58BC" w:rsidP="00AF58BC">
      <w:pPr>
        <w:ind w:firstLine="720"/>
        <w:contextualSpacing/>
        <w:rPr>
          <w:rFonts w:eastAsia="Times New Roman"/>
          <w:color w:val="000000"/>
        </w:rPr>
      </w:pPr>
      <w:r>
        <w:rPr>
          <w:rFonts w:eastAsia="Times New Roman"/>
          <w:bCs/>
          <w:color w:val="000000"/>
        </w:rPr>
        <w:t>Control - Integrated Framework</w:t>
      </w:r>
      <w:r w:rsidR="004D4B60">
        <w:rPr>
          <w:rFonts w:eastAsia="Times New Roman"/>
          <w:bCs/>
          <w:color w:val="000000"/>
        </w:rPr>
        <w:t>.</w:t>
      </w:r>
      <w:r>
        <w:rPr>
          <w:rFonts w:eastAsia="Times New Roman"/>
          <w:bCs/>
          <w:color w:val="000000"/>
        </w:rPr>
        <w:t xml:space="preserve">” </w:t>
      </w:r>
    </w:p>
    <w:p w14:paraId="36920592" w14:textId="77777777" w:rsidR="00260DD1" w:rsidRDefault="00260DD1" w:rsidP="00260DD1">
      <w:pPr>
        <w:contextualSpacing/>
        <w:rPr>
          <w:rFonts w:eastAsia="Times New Roman"/>
          <w:color w:val="000000"/>
        </w:rPr>
      </w:pPr>
      <w:proofErr w:type="gramStart"/>
      <w:r>
        <w:rPr>
          <w:rFonts w:eastAsia="Times New Roman"/>
          <w:color w:val="000000"/>
        </w:rPr>
        <w:t>Comptroller of the Currency.</w:t>
      </w:r>
      <w:proofErr w:type="gramEnd"/>
      <w:r>
        <w:rPr>
          <w:rFonts w:eastAsia="Times New Roman"/>
          <w:color w:val="000000"/>
        </w:rPr>
        <w:t xml:space="preserve"> 2007. “OCC’s Quarterly Report on Bank Derivatives Activities, </w:t>
      </w:r>
    </w:p>
    <w:p w14:paraId="4C5C4C1C" w14:textId="1AEC8D01" w:rsidR="004624ED" w:rsidRPr="000232FC" w:rsidRDefault="00260DD1" w:rsidP="00260DD1">
      <w:pPr>
        <w:ind w:left="720"/>
        <w:contextualSpacing/>
        <w:rPr>
          <w:rFonts w:eastAsia="Times New Roman"/>
        </w:rPr>
      </w:pPr>
      <w:r>
        <w:rPr>
          <w:rFonts w:eastAsia="Times New Roman"/>
          <w:color w:val="000000"/>
        </w:rPr>
        <w:t>Third Quarter 2007” &lt;</w:t>
      </w:r>
      <w:r w:rsidRPr="00260DD1">
        <w:rPr>
          <w:rFonts w:eastAsia="Times New Roman"/>
          <w:color w:val="000000"/>
        </w:rPr>
        <w:t>http://www.occ.treas.gov/topics/capital-markets/financial-markets/derivatives/dq307.pdf</w:t>
      </w:r>
      <w:r>
        <w:rPr>
          <w:rFonts w:eastAsia="Times New Roman"/>
          <w:color w:val="000000"/>
        </w:rPr>
        <w:t>&gt;</w:t>
      </w:r>
    </w:p>
    <w:p w14:paraId="0BE0AEE8" w14:textId="77777777" w:rsidR="004624ED" w:rsidRPr="00084D5C" w:rsidRDefault="004624ED" w:rsidP="004624ED">
      <w:pPr>
        <w:ind w:left="720" w:hanging="720"/>
        <w:contextualSpacing/>
        <w:rPr>
          <w:i/>
          <w:lang w:eastAsia="ja-JP"/>
        </w:rPr>
      </w:pPr>
      <w:r>
        <w:rPr>
          <w:lang w:eastAsia="ja-JP"/>
        </w:rPr>
        <w:t xml:space="preserve">Davi, Charles. 2009. “How to Understand the Derivatives Market” </w:t>
      </w:r>
      <w:r>
        <w:rPr>
          <w:i/>
          <w:lang w:eastAsia="ja-JP"/>
        </w:rPr>
        <w:t xml:space="preserve">The Atlantic </w:t>
      </w:r>
      <w:r w:rsidRPr="00985BC0">
        <w:rPr>
          <w:lang w:eastAsia="ja-JP"/>
        </w:rPr>
        <w:t>&lt;http://www.theatlantic.com/business/archive/2009/07/how-to-understand-the-derivatives-market/21426/&gt;</w:t>
      </w:r>
    </w:p>
    <w:p w14:paraId="45A2C0DD" w14:textId="77777777" w:rsidR="004624ED" w:rsidRPr="008C6F2A" w:rsidRDefault="004624ED" w:rsidP="004624ED">
      <w:pPr>
        <w:ind w:left="720" w:hanging="720"/>
        <w:contextualSpacing/>
        <w:rPr>
          <w:noProof/>
        </w:rPr>
      </w:pPr>
      <w:r w:rsidRPr="008C6F2A">
        <w:rPr>
          <w:noProof/>
        </w:rPr>
        <w:t xml:space="preserve">Davis, Gerald F., Kristina A. Diekmann, and Catherine H. Tinsley. 1994. “The Decline and Fall of the Conglamerate Firm in the 1980s: The Deinstitutionalization of an Organizational Form.” </w:t>
      </w:r>
      <w:r w:rsidRPr="008C6F2A">
        <w:rPr>
          <w:i/>
          <w:noProof/>
        </w:rPr>
        <w:t>American Sociological Review</w:t>
      </w:r>
      <w:r w:rsidRPr="008C6F2A">
        <w:rPr>
          <w:noProof/>
        </w:rPr>
        <w:t xml:space="preserve"> 59(4):547-70.</w:t>
      </w:r>
    </w:p>
    <w:p w14:paraId="0FCDBC2C" w14:textId="77777777" w:rsidR="004624ED" w:rsidRPr="00E2067B" w:rsidRDefault="004624ED" w:rsidP="004624ED">
      <w:pPr>
        <w:ind w:left="720" w:hanging="720"/>
        <w:contextualSpacing/>
      </w:pPr>
      <w:r w:rsidRPr="00AA71DA">
        <w:t>Dell</w:t>
      </w:r>
      <w:r w:rsidRPr="00AA71DA">
        <w:rPr>
          <w:rFonts w:ascii="American Typewriter" w:hAnsi="American Typewriter" w:cs="American Typewriter"/>
        </w:rPr>
        <w:t>ʼ</w:t>
      </w:r>
      <w:r w:rsidRPr="00AA71DA">
        <w:t>Ariccia, Giovanni, Luc Laeven, and Robert Marquez. 2014. “Real Interest Rates, Leverage</w:t>
      </w:r>
      <w:r>
        <w:t xml:space="preserve">, and Bank Risk-Taking” </w:t>
      </w:r>
      <w:r>
        <w:rPr>
          <w:i/>
        </w:rPr>
        <w:t xml:space="preserve">Journal of Economic Theory </w:t>
      </w:r>
      <w:r>
        <w:t>149: 65-99.</w:t>
      </w:r>
    </w:p>
    <w:p w14:paraId="62B8AE50" w14:textId="77777777" w:rsidR="004624ED" w:rsidRDefault="004624ED" w:rsidP="004624ED">
      <w:pPr>
        <w:ind w:left="720" w:hanging="720"/>
        <w:contextualSpacing/>
      </w:pPr>
      <w:r w:rsidRPr="00C873AA">
        <w:t>Deloitte. 2004</w:t>
      </w:r>
      <w:r>
        <w:t>. “Sarbanes-Oxley Section 404: 10 Threats to Compliance” 1-10. &lt;</w:t>
      </w:r>
      <w:r w:rsidRPr="0088147B">
        <w:t>http://www2.deloitte.com/content/dam/Deloitte/us/Documents/audit/us-aers-assur-ten-threats-sep2004.pdf</w:t>
      </w:r>
      <w:r>
        <w:t>&gt;</w:t>
      </w:r>
    </w:p>
    <w:p w14:paraId="62041418" w14:textId="77777777" w:rsidR="004624ED" w:rsidRPr="00341D1D" w:rsidRDefault="004624ED" w:rsidP="004624ED">
      <w:pPr>
        <w:ind w:left="720" w:hanging="720"/>
        <w:contextualSpacing/>
      </w:pPr>
      <w:r w:rsidRPr="00A35B51">
        <w:rPr>
          <w:rFonts w:eastAsia="Times New Roman"/>
        </w:rPr>
        <w:t>Demsetz</w:t>
      </w:r>
      <w:r>
        <w:rPr>
          <w:rFonts w:eastAsia="Times New Roman"/>
        </w:rPr>
        <w:t>,</w:t>
      </w:r>
      <w:r w:rsidRPr="00A35B51">
        <w:rPr>
          <w:rFonts w:eastAsia="Times New Roman"/>
        </w:rPr>
        <w:t xml:space="preserve"> </w:t>
      </w:r>
      <w:r>
        <w:rPr>
          <w:rFonts w:eastAsia="Times New Roman"/>
        </w:rPr>
        <w:t xml:space="preserve">Rebecca S. </w:t>
      </w:r>
      <w:r w:rsidRPr="00A35B51">
        <w:rPr>
          <w:rFonts w:eastAsia="Times New Roman"/>
        </w:rPr>
        <w:t xml:space="preserve">and </w:t>
      </w:r>
      <w:r>
        <w:rPr>
          <w:rFonts w:eastAsia="Times New Roman"/>
        </w:rPr>
        <w:t xml:space="preserve">Philip E. </w:t>
      </w:r>
      <w:r w:rsidRPr="00A35B51">
        <w:rPr>
          <w:rFonts w:eastAsia="Times New Roman"/>
        </w:rPr>
        <w:t>Strahan</w:t>
      </w:r>
      <w:r>
        <w:rPr>
          <w:rFonts w:eastAsia="Times New Roman"/>
        </w:rPr>
        <w:t>.</w:t>
      </w:r>
      <w:r w:rsidRPr="00A35B51">
        <w:rPr>
          <w:rFonts w:eastAsia="Times New Roman"/>
        </w:rPr>
        <w:t xml:space="preserve"> 1997</w:t>
      </w:r>
      <w:r>
        <w:rPr>
          <w:rFonts w:eastAsia="Times New Roman"/>
        </w:rPr>
        <w:t xml:space="preserve">. “Diversification, Size, and Risk at Bank Holding Companies” </w:t>
      </w:r>
      <w:r>
        <w:rPr>
          <w:rFonts w:eastAsia="Times New Roman"/>
          <w:i/>
        </w:rPr>
        <w:t xml:space="preserve">Journal of Money, Credit, and Banking </w:t>
      </w:r>
      <w:r>
        <w:rPr>
          <w:rFonts w:eastAsia="Times New Roman"/>
        </w:rPr>
        <w:t>29(3): 300-313.</w:t>
      </w:r>
    </w:p>
    <w:p w14:paraId="5183BF2C" w14:textId="77777777" w:rsidR="004624ED" w:rsidRDefault="004624ED" w:rsidP="004624ED">
      <w:pPr>
        <w:rPr>
          <w:rFonts w:eastAsia="Times New Roman"/>
        </w:rPr>
      </w:pPr>
      <w:r w:rsidRPr="00B52419">
        <w:rPr>
          <w:rFonts w:eastAsia="Times New Roman"/>
        </w:rPr>
        <w:t xml:space="preserve">DiMaggio, Paul J. 1988. “Interest and Agency in Institutional Theory.” Pp. 3–21 in </w:t>
      </w:r>
    </w:p>
    <w:p w14:paraId="4649EEC0" w14:textId="77777777" w:rsidR="004624ED" w:rsidRPr="009459A9" w:rsidRDefault="004624ED" w:rsidP="004624ED">
      <w:pPr>
        <w:ind w:left="720"/>
        <w:rPr>
          <w:rFonts w:eastAsia="Times New Roman"/>
        </w:rPr>
      </w:pPr>
      <w:r w:rsidRPr="00B52419">
        <w:rPr>
          <w:rFonts w:eastAsia="Times New Roman"/>
          <w:i/>
          <w:iCs/>
        </w:rPr>
        <w:t>Institutional Patterns and Organizations</w:t>
      </w:r>
      <w:r w:rsidRPr="00B52419">
        <w:rPr>
          <w:rFonts w:eastAsia="Times New Roman"/>
        </w:rPr>
        <w:t>, edited by Lynne G. Zucker. Cambridge, MA: Ballinger.</w:t>
      </w:r>
    </w:p>
    <w:p w14:paraId="1D590794" w14:textId="77777777" w:rsidR="004624ED" w:rsidRDefault="004624ED" w:rsidP="004624ED">
      <w:pPr>
        <w:ind w:left="720" w:hanging="720"/>
        <w:contextualSpacing/>
        <w:rPr>
          <w:lang w:eastAsia="ja-JP"/>
        </w:rPr>
      </w:pPr>
      <w:r w:rsidRPr="008C6F2A">
        <w:rPr>
          <w:lang w:eastAsia="ja-JP"/>
        </w:rPr>
        <w:t xml:space="preserve">DiMaggio, Paul J. and Walter W. Powell. 1983. “The Iron Cage Revisited: Institutional Isomorphism and Collective Rationality in Organizational Fields.” </w:t>
      </w:r>
      <w:proofErr w:type="gramStart"/>
      <w:r w:rsidRPr="008C6F2A">
        <w:rPr>
          <w:i/>
          <w:iCs/>
          <w:lang w:eastAsia="ja-JP"/>
        </w:rPr>
        <w:t>American Sociological Review</w:t>
      </w:r>
      <w:r w:rsidRPr="008C6F2A">
        <w:rPr>
          <w:lang w:eastAsia="ja-JP"/>
        </w:rPr>
        <w:t xml:space="preserve"> 48:147–60.</w:t>
      </w:r>
      <w:proofErr w:type="gramEnd"/>
    </w:p>
    <w:p w14:paraId="26F0A1E1" w14:textId="77777777" w:rsidR="004624ED" w:rsidRPr="008C6F2A" w:rsidRDefault="004624ED" w:rsidP="004624ED">
      <w:pPr>
        <w:ind w:left="720" w:hanging="720"/>
        <w:contextualSpacing/>
        <w:rPr>
          <w:lang w:eastAsia="ja-JP"/>
        </w:rPr>
      </w:pPr>
      <w:proofErr w:type="gramStart"/>
      <w:r w:rsidRPr="008C6F2A">
        <w:rPr>
          <w:lang w:eastAsia="ja-JP"/>
        </w:rPr>
        <w:t>Dobbin, Frank and Erin Kelly.</w:t>
      </w:r>
      <w:proofErr w:type="gramEnd"/>
      <w:r w:rsidRPr="008C6F2A">
        <w:rPr>
          <w:lang w:eastAsia="ja-JP"/>
        </w:rPr>
        <w:t xml:space="preserve"> 2007. “How to Stop Harassment: The Professional Construction of Legal Compliance in Organizations.” </w:t>
      </w:r>
      <w:proofErr w:type="gramStart"/>
      <w:r w:rsidRPr="008C6F2A">
        <w:rPr>
          <w:i/>
          <w:iCs/>
          <w:lang w:eastAsia="ja-JP"/>
        </w:rPr>
        <w:t>American Journal of Sociology</w:t>
      </w:r>
      <w:r w:rsidRPr="008C6F2A">
        <w:rPr>
          <w:lang w:eastAsia="ja-JP"/>
        </w:rPr>
        <w:t xml:space="preserve"> 112:1203–43.</w:t>
      </w:r>
      <w:proofErr w:type="gramEnd"/>
    </w:p>
    <w:p w14:paraId="787F09C7" w14:textId="4526602D" w:rsidR="004624ED" w:rsidRPr="008C6F2A" w:rsidRDefault="004624ED" w:rsidP="004624ED">
      <w:pPr>
        <w:ind w:left="720" w:hanging="720"/>
        <w:contextualSpacing/>
        <w:rPr>
          <w:color w:val="000000" w:themeColor="text1"/>
          <w:lang w:eastAsia="ja-JP"/>
        </w:rPr>
      </w:pPr>
      <w:proofErr w:type="gramStart"/>
      <w:r w:rsidRPr="008C6F2A">
        <w:rPr>
          <w:lang w:eastAsia="ja-JP"/>
        </w:rPr>
        <w:t>Dobbin, Frank and Jiwook Jung.</w:t>
      </w:r>
      <w:proofErr w:type="gramEnd"/>
      <w:r w:rsidRPr="008C6F2A">
        <w:rPr>
          <w:lang w:eastAsia="ja-JP"/>
        </w:rPr>
        <w:t xml:space="preserve"> 201</w:t>
      </w:r>
      <w:r w:rsidRPr="008C6F2A">
        <w:rPr>
          <w:color w:val="000000" w:themeColor="text1"/>
          <w:lang w:eastAsia="ja-JP"/>
        </w:rPr>
        <w:t xml:space="preserve">0. “The Misapplication of Mr. Michael Jensen: How Agency Theory Brought Down the Economy and Why It Might Again.” </w:t>
      </w:r>
      <w:proofErr w:type="gramStart"/>
      <w:r w:rsidRPr="008C6F2A">
        <w:rPr>
          <w:i/>
          <w:iCs/>
          <w:color w:val="000000" w:themeColor="text1"/>
          <w:lang w:eastAsia="ja-JP"/>
        </w:rPr>
        <w:t>Research in the Sociology of Organizations</w:t>
      </w:r>
      <w:r w:rsidRPr="008C6F2A">
        <w:rPr>
          <w:color w:val="000000" w:themeColor="text1"/>
          <w:lang w:eastAsia="ja-JP"/>
        </w:rPr>
        <w:t xml:space="preserve"> 30:29–64.</w:t>
      </w:r>
      <w:proofErr w:type="gramEnd"/>
    </w:p>
    <w:p w14:paraId="3CA71DB7" w14:textId="77777777" w:rsidR="004624ED" w:rsidRPr="008C6F2A" w:rsidRDefault="004624ED" w:rsidP="004624ED">
      <w:pPr>
        <w:rPr>
          <w:color w:val="000000" w:themeColor="text1"/>
        </w:rPr>
      </w:pPr>
      <w:proofErr w:type="gramStart"/>
      <w:r w:rsidRPr="008C6F2A">
        <w:rPr>
          <w:color w:val="000000" w:themeColor="text1"/>
        </w:rPr>
        <w:t>Dobbin, Frank, Daniel Schrage, and Alexandra Kalev.</w:t>
      </w:r>
      <w:proofErr w:type="gramEnd"/>
      <w:r>
        <w:rPr>
          <w:color w:val="000000" w:themeColor="text1"/>
        </w:rPr>
        <w:t xml:space="preserve"> 2015</w:t>
      </w:r>
      <w:r w:rsidRPr="008C6F2A">
        <w:rPr>
          <w:color w:val="000000" w:themeColor="text1"/>
        </w:rPr>
        <w:t xml:space="preserve">. “Resisting the Iron </w:t>
      </w:r>
    </w:p>
    <w:p w14:paraId="722BCA39" w14:textId="010C0180" w:rsidR="004624ED" w:rsidRPr="00CB7C5C" w:rsidRDefault="004624ED" w:rsidP="004624ED">
      <w:pPr>
        <w:ind w:left="720"/>
        <w:rPr>
          <w:color w:val="000000" w:themeColor="text1"/>
        </w:rPr>
      </w:pPr>
      <w:r w:rsidRPr="008C6F2A">
        <w:rPr>
          <w:color w:val="000000" w:themeColor="text1"/>
        </w:rPr>
        <w:t xml:space="preserve">Cage: The Diverse Effects of Bureaucratic Reforms to Promote Diversity.” </w:t>
      </w:r>
      <w:r>
        <w:rPr>
          <w:i/>
          <w:color w:val="000000" w:themeColor="text1"/>
        </w:rPr>
        <w:t xml:space="preserve">American Sociological Review </w:t>
      </w:r>
      <w:r>
        <w:rPr>
          <w:color w:val="000000" w:themeColor="text1"/>
        </w:rPr>
        <w:t>80(5): 1014-1044.</w:t>
      </w:r>
    </w:p>
    <w:p w14:paraId="14F9D742" w14:textId="77777777" w:rsidR="004624ED" w:rsidRDefault="004624ED" w:rsidP="004624ED">
      <w:pPr>
        <w:ind w:left="720" w:hanging="720"/>
        <w:contextualSpacing/>
        <w:rPr>
          <w:color w:val="000000" w:themeColor="text1"/>
          <w:lang w:eastAsia="ja-JP"/>
        </w:rPr>
      </w:pPr>
      <w:proofErr w:type="gramStart"/>
      <w:r w:rsidRPr="008C6F2A">
        <w:rPr>
          <w:color w:val="000000" w:themeColor="text1"/>
          <w:lang w:eastAsia="ja-JP"/>
        </w:rPr>
        <w:t>Dobbin, Frank and John R. Sutton.</w:t>
      </w:r>
      <w:proofErr w:type="gramEnd"/>
      <w:r w:rsidRPr="008C6F2A">
        <w:rPr>
          <w:color w:val="000000" w:themeColor="text1"/>
          <w:lang w:eastAsia="ja-JP"/>
        </w:rPr>
        <w:t xml:space="preserve"> 1998. “The Strength of a Weak State: The Employment Rights Revolution and the Rise of Human Resources Management Divisions.” </w:t>
      </w:r>
      <w:proofErr w:type="gramStart"/>
      <w:r w:rsidRPr="008C6F2A">
        <w:rPr>
          <w:i/>
          <w:iCs/>
          <w:color w:val="000000" w:themeColor="text1"/>
          <w:lang w:eastAsia="ja-JP"/>
        </w:rPr>
        <w:t>American Journal of Sociology</w:t>
      </w:r>
      <w:r w:rsidRPr="008C6F2A">
        <w:rPr>
          <w:color w:val="000000" w:themeColor="text1"/>
          <w:lang w:eastAsia="ja-JP"/>
        </w:rPr>
        <w:t xml:space="preserve"> 104:441–76.</w:t>
      </w:r>
      <w:proofErr w:type="gramEnd"/>
    </w:p>
    <w:p w14:paraId="4FC3BDD7" w14:textId="77777777" w:rsidR="004624ED" w:rsidRPr="008C6F2A" w:rsidRDefault="004624ED" w:rsidP="004624ED">
      <w:pPr>
        <w:ind w:left="720" w:hanging="720"/>
        <w:contextualSpacing/>
        <w:rPr>
          <w:rFonts w:ascii="Arial" w:hAnsi="Arial" w:cs="Arial"/>
          <w:color w:val="000000" w:themeColor="text1"/>
          <w:lang w:eastAsia="ja-JP"/>
        </w:rPr>
      </w:pPr>
      <w:proofErr w:type="gramStart"/>
      <w:r>
        <w:lastRenderedPageBreak/>
        <w:t>Dobbin, Frank, John R. Sutton, John W. Meyer, and W. Richard Scott.</w:t>
      </w:r>
      <w:proofErr w:type="gramEnd"/>
      <w:r>
        <w:t xml:space="preserve"> 1993. “Equal Opportunity Law and the Construction of Internal Labor Markets” </w:t>
      </w:r>
      <w:r>
        <w:rPr>
          <w:i/>
        </w:rPr>
        <w:t xml:space="preserve">American Journal of Sociology </w:t>
      </w:r>
      <w:r>
        <w:t>99: 396-427.</w:t>
      </w:r>
      <w:r w:rsidRPr="008C6F2A">
        <w:rPr>
          <w:rFonts w:ascii="Arial" w:hAnsi="Arial" w:cs="Arial"/>
          <w:color w:val="000000" w:themeColor="text1"/>
          <w:lang w:eastAsia="ja-JP"/>
        </w:rPr>
        <w:t xml:space="preserve"> </w:t>
      </w:r>
    </w:p>
    <w:p w14:paraId="2356CA28" w14:textId="77777777" w:rsidR="004624ED" w:rsidRPr="008C6F2A" w:rsidRDefault="004624ED" w:rsidP="004624ED">
      <w:pPr>
        <w:ind w:left="720" w:hanging="720"/>
        <w:contextualSpacing/>
        <w:rPr>
          <w:color w:val="000000" w:themeColor="text1"/>
          <w:lang w:eastAsia="ja-JP"/>
        </w:rPr>
      </w:pPr>
      <w:proofErr w:type="gramStart"/>
      <w:r w:rsidRPr="008C6F2A">
        <w:rPr>
          <w:color w:val="000000" w:themeColor="text1"/>
          <w:lang w:eastAsia="ja-JP"/>
        </w:rPr>
        <w:t>Dobbin, Frank, Soohan Kim, and Alexandra Kalev.</w:t>
      </w:r>
      <w:proofErr w:type="gramEnd"/>
      <w:r w:rsidRPr="008C6F2A">
        <w:rPr>
          <w:color w:val="000000" w:themeColor="text1"/>
          <w:lang w:eastAsia="ja-JP"/>
        </w:rPr>
        <w:t xml:space="preserve"> 2011. “You Can't Always Get What You Need: Organizational Determinants of Diversity Programs.” </w:t>
      </w:r>
      <w:r w:rsidRPr="008C6F2A">
        <w:rPr>
          <w:i/>
          <w:iCs/>
          <w:color w:val="000000" w:themeColor="text1"/>
          <w:lang w:eastAsia="ja-JP"/>
        </w:rPr>
        <w:t>American Sociological Review</w:t>
      </w:r>
      <w:r w:rsidRPr="008C6F2A">
        <w:rPr>
          <w:color w:val="000000" w:themeColor="text1"/>
          <w:lang w:eastAsia="ja-JP"/>
        </w:rPr>
        <w:t xml:space="preserve"> 76:386-411.</w:t>
      </w:r>
    </w:p>
    <w:p w14:paraId="53962D55" w14:textId="77777777" w:rsidR="004624ED" w:rsidRPr="008C6F2A" w:rsidRDefault="004624ED" w:rsidP="004624ED">
      <w:pPr>
        <w:ind w:left="720" w:hanging="720"/>
        <w:contextualSpacing/>
        <w:rPr>
          <w:color w:val="000000" w:themeColor="text1"/>
          <w:lang w:eastAsia="ja-JP"/>
        </w:rPr>
      </w:pPr>
      <w:r w:rsidRPr="008C6F2A">
        <w:rPr>
          <w:color w:val="000000" w:themeColor="text1"/>
          <w:lang w:eastAsia="ja-JP"/>
        </w:rPr>
        <w:t xml:space="preserve">Dobbs, Kevin. 2008. “As the Bar Rises, So Does Demand.” </w:t>
      </w:r>
      <w:r w:rsidRPr="008C6F2A">
        <w:rPr>
          <w:i/>
          <w:color w:val="000000" w:themeColor="text1"/>
          <w:lang w:eastAsia="ja-JP"/>
        </w:rPr>
        <w:t xml:space="preserve">American Banker. </w:t>
      </w:r>
      <w:r w:rsidRPr="008C6F2A">
        <w:rPr>
          <w:color w:val="000000" w:themeColor="text1"/>
          <w:lang w:eastAsia="ja-JP"/>
        </w:rPr>
        <w:t xml:space="preserve">48. January 31. </w:t>
      </w:r>
    </w:p>
    <w:p w14:paraId="4355F6B0" w14:textId="77777777" w:rsidR="004624ED" w:rsidRPr="0030296D" w:rsidRDefault="004624ED" w:rsidP="004624ED">
      <w:pPr>
        <w:ind w:left="720" w:hanging="720"/>
        <w:contextualSpacing/>
        <w:rPr>
          <w:color w:val="000000" w:themeColor="text1"/>
          <w:lang w:eastAsia="ja-JP"/>
        </w:rPr>
      </w:pPr>
      <w:r w:rsidRPr="0030296D">
        <w:rPr>
          <w:color w:val="000000" w:themeColor="text1"/>
          <w:lang w:eastAsia="ja-JP"/>
        </w:rPr>
        <w:t xml:space="preserve">Edelman, Lauren B. 1990. “Legal Environments and Organizational Governance: The Expansion of Due Process in the American Workplace.” </w:t>
      </w:r>
      <w:proofErr w:type="gramStart"/>
      <w:r w:rsidRPr="0030296D">
        <w:rPr>
          <w:i/>
          <w:iCs/>
          <w:color w:val="000000" w:themeColor="text1"/>
          <w:lang w:eastAsia="ja-JP"/>
        </w:rPr>
        <w:t>American Journal of Sociology</w:t>
      </w:r>
      <w:r w:rsidRPr="0030296D">
        <w:rPr>
          <w:color w:val="000000" w:themeColor="text1"/>
          <w:lang w:eastAsia="ja-JP"/>
        </w:rPr>
        <w:t xml:space="preserve"> 95:1401–40.</w:t>
      </w:r>
      <w:proofErr w:type="gramEnd"/>
    </w:p>
    <w:p w14:paraId="79D7512E" w14:textId="7B640951" w:rsidR="005C1256" w:rsidRPr="0030296D" w:rsidRDefault="004624ED" w:rsidP="004624ED">
      <w:pPr>
        <w:ind w:left="720" w:hanging="720"/>
        <w:contextualSpacing/>
        <w:rPr>
          <w:color w:val="000000" w:themeColor="text1"/>
          <w:lang w:eastAsia="ja-JP"/>
        </w:rPr>
      </w:pPr>
      <w:r w:rsidRPr="0030296D">
        <w:rPr>
          <w:color w:val="000000" w:themeColor="text1"/>
          <w:lang w:eastAsia="ja-JP"/>
        </w:rPr>
        <w:t xml:space="preserve">Edelman, Lauren B. 1992. “Legal Ambiguity and Symbolic Structures: Organizational Mediation of Civil Rights Law.” </w:t>
      </w:r>
      <w:proofErr w:type="gramStart"/>
      <w:r w:rsidRPr="0030296D">
        <w:rPr>
          <w:i/>
          <w:iCs/>
          <w:color w:val="000000" w:themeColor="text1"/>
          <w:lang w:eastAsia="ja-JP"/>
        </w:rPr>
        <w:t>American Journal of Sociology</w:t>
      </w:r>
      <w:r w:rsidRPr="0030296D">
        <w:rPr>
          <w:color w:val="000000" w:themeColor="text1"/>
          <w:lang w:eastAsia="ja-JP"/>
        </w:rPr>
        <w:t xml:space="preserve"> 97:1531–76.</w:t>
      </w:r>
      <w:proofErr w:type="gramEnd"/>
    </w:p>
    <w:p w14:paraId="3183CD0D" w14:textId="46FB948B" w:rsidR="004624ED" w:rsidRPr="001D1EBD" w:rsidRDefault="004624ED" w:rsidP="005C1256">
      <w:pPr>
        <w:ind w:left="720" w:hanging="720"/>
        <w:contextualSpacing/>
        <w:rPr>
          <w:rFonts w:eastAsia="Times New Roman"/>
        </w:rPr>
      </w:pPr>
      <w:proofErr w:type="gramStart"/>
      <w:r w:rsidRPr="0030296D">
        <w:rPr>
          <w:color w:val="000000" w:themeColor="text1"/>
          <w:lang w:eastAsia="ja-JP"/>
        </w:rPr>
        <w:t>Federal Trade Commission.</w:t>
      </w:r>
      <w:proofErr w:type="gramEnd"/>
      <w:r w:rsidRPr="0030296D">
        <w:rPr>
          <w:color w:val="000000" w:themeColor="text1"/>
          <w:lang w:eastAsia="ja-JP"/>
        </w:rPr>
        <w:t xml:space="preserve"> 2002. </w:t>
      </w:r>
      <w:r w:rsidR="005C1256">
        <w:rPr>
          <w:color w:val="000000" w:themeColor="text1"/>
          <w:lang w:eastAsia="ja-JP"/>
        </w:rPr>
        <w:t>“H</w:t>
      </w:r>
      <w:r w:rsidR="005C1256">
        <w:rPr>
          <w:rFonts w:eastAsia="Times New Roman"/>
        </w:rPr>
        <w:t xml:space="preserve">ow To Comply with the Privacy of Consumer Financial Information Rule of the Gramm-Leach-Bliley Act” </w:t>
      </w:r>
      <w:r w:rsidR="005C1256" w:rsidRPr="005C1256">
        <w:rPr>
          <w:color w:val="000000" w:themeColor="text1"/>
          <w:lang w:eastAsia="ja-JP"/>
        </w:rPr>
        <w:t>&lt;</w:t>
      </w:r>
      <w:r w:rsidRPr="002A7B3B">
        <w:t>https://www.ftc.gov/tips-advice/business-center/guidance/how-comply-privacy-consumer-financial-information-rule-gramm</w:t>
      </w:r>
      <w:r w:rsidR="005C1256">
        <w:t>&gt;</w:t>
      </w:r>
      <w:r w:rsidRPr="005C1256">
        <w:rPr>
          <w:rFonts w:ascii="Arial" w:hAnsi="Arial" w:cs="Arial"/>
          <w:color w:val="000000" w:themeColor="text1"/>
          <w:highlight w:val="yellow"/>
          <w:lang w:eastAsia="ja-JP"/>
        </w:rPr>
        <w:t xml:space="preserve"> </w:t>
      </w:r>
    </w:p>
    <w:p w14:paraId="285E493C" w14:textId="77777777" w:rsidR="004624ED" w:rsidRDefault="004624ED" w:rsidP="004624ED">
      <w:pPr>
        <w:widowControl w:val="0"/>
        <w:autoSpaceDE w:val="0"/>
        <w:autoSpaceDN w:val="0"/>
        <w:adjustRightInd w:val="0"/>
        <w:rPr>
          <w:lang w:eastAsia="ja-JP"/>
        </w:rPr>
      </w:pPr>
      <w:proofErr w:type="gramStart"/>
      <w:r w:rsidRPr="0030296D">
        <w:rPr>
          <w:rFonts w:eastAsia="Times New Roman"/>
          <w:color w:val="231F20"/>
          <w:shd w:val="clear" w:color="auto" w:fill="FFFFFF"/>
        </w:rPr>
        <w:t>Financial Crisis Inquiry Commission (FCIC).</w:t>
      </w:r>
      <w:proofErr w:type="gramEnd"/>
      <w:r w:rsidRPr="0030296D">
        <w:rPr>
          <w:rFonts w:eastAsia="Times New Roman"/>
          <w:color w:val="231F20"/>
          <w:shd w:val="clear" w:color="auto" w:fill="FFFFFF"/>
        </w:rPr>
        <w:t xml:space="preserve"> 2011. </w:t>
      </w:r>
      <w:r w:rsidRPr="0030296D">
        <w:rPr>
          <w:lang w:eastAsia="ja-JP"/>
        </w:rPr>
        <w:t xml:space="preserve">“The Financial Crisis Inquiry Report: </w:t>
      </w:r>
    </w:p>
    <w:p w14:paraId="442C50A6" w14:textId="77777777" w:rsidR="004624ED" w:rsidRPr="00651DAD" w:rsidRDefault="004624ED" w:rsidP="004624ED">
      <w:pPr>
        <w:widowControl w:val="0"/>
        <w:autoSpaceDE w:val="0"/>
        <w:autoSpaceDN w:val="0"/>
        <w:adjustRightInd w:val="0"/>
        <w:ind w:left="720"/>
        <w:rPr>
          <w:lang w:eastAsia="ja-JP"/>
        </w:rPr>
      </w:pPr>
      <w:r w:rsidRPr="0030296D">
        <w:rPr>
          <w:lang w:eastAsia="ja-JP"/>
        </w:rPr>
        <w:t xml:space="preserve">Final Report of the National Commission on the Causes of Financial and </w:t>
      </w:r>
      <w:r w:rsidRPr="00651DAD">
        <w:rPr>
          <w:lang w:eastAsia="ja-JP"/>
        </w:rPr>
        <w:t>Economic Crisis in the United States.” Washington, D.C.</w:t>
      </w:r>
    </w:p>
    <w:p w14:paraId="731EBF93" w14:textId="77777777" w:rsidR="004624ED" w:rsidRPr="008C6F2A" w:rsidRDefault="004624ED" w:rsidP="004624ED">
      <w:pPr>
        <w:ind w:left="720" w:hanging="720"/>
        <w:contextualSpacing/>
        <w:rPr>
          <w:color w:val="000000" w:themeColor="text1"/>
          <w:lang w:eastAsia="ja-JP"/>
        </w:rPr>
      </w:pPr>
      <w:r w:rsidRPr="00651DAD">
        <w:rPr>
          <w:color w:val="000000" w:themeColor="text1"/>
          <w:lang w:eastAsia="ja-JP"/>
        </w:rPr>
        <w:t xml:space="preserve">Fligstein, Neil. 1990. </w:t>
      </w:r>
      <w:r w:rsidRPr="00651DAD">
        <w:rPr>
          <w:i/>
          <w:iCs/>
          <w:color w:val="000000" w:themeColor="text1"/>
          <w:lang w:eastAsia="ja-JP"/>
        </w:rPr>
        <w:t>The Transformation of Corporate Control</w:t>
      </w:r>
      <w:r w:rsidRPr="00651DAD">
        <w:rPr>
          <w:color w:val="000000" w:themeColor="text1"/>
          <w:lang w:eastAsia="ja-JP"/>
        </w:rPr>
        <w:t>. Cambridge, MA: Harvard University Press.</w:t>
      </w:r>
    </w:p>
    <w:p w14:paraId="7DA87158" w14:textId="411EEE2A" w:rsidR="004624ED" w:rsidRDefault="004624ED" w:rsidP="00CB1D35">
      <w:pPr>
        <w:ind w:left="720" w:hanging="720"/>
        <w:contextualSpacing/>
        <w:rPr>
          <w:rFonts w:eastAsia="Times New Roman"/>
          <w:color w:val="000000" w:themeColor="text1"/>
        </w:rPr>
      </w:pPr>
      <w:r w:rsidRPr="008C6F2A">
        <w:rPr>
          <w:color w:val="000000" w:themeColor="text1"/>
          <w:lang w:val="de-DE"/>
        </w:rPr>
        <w:t xml:space="preserve">Fligstein, Neil and Adam Goldstein. </w:t>
      </w:r>
      <w:r w:rsidRPr="008C6F2A">
        <w:rPr>
          <w:color w:val="000000" w:themeColor="text1"/>
        </w:rPr>
        <w:t xml:space="preserve">2010. “The Anatomy of the Mortgage Securitization Crisis.” </w:t>
      </w:r>
      <w:r w:rsidR="00CB1D35" w:rsidRPr="008C6F2A">
        <w:rPr>
          <w:i/>
          <w:iCs/>
          <w:color w:val="000000" w:themeColor="text1"/>
          <w:lang w:eastAsia="ja-JP"/>
        </w:rPr>
        <w:t>Research in the Sociology of Organizations</w:t>
      </w:r>
      <w:r w:rsidR="00CB1D35">
        <w:rPr>
          <w:color w:val="000000" w:themeColor="text1"/>
          <w:lang w:eastAsia="ja-JP"/>
        </w:rPr>
        <w:t xml:space="preserve"> 30</w:t>
      </w:r>
      <w:r w:rsidR="00CB1D35">
        <w:rPr>
          <w:rFonts w:eastAsia="Times New Roman"/>
          <w:color w:val="000000" w:themeColor="text1"/>
        </w:rPr>
        <w:t>: 29-70.</w:t>
      </w:r>
    </w:p>
    <w:p w14:paraId="4211426B" w14:textId="77777777" w:rsidR="004624ED" w:rsidRPr="00324E94" w:rsidRDefault="004624ED" w:rsidP="004624ED">
      <w:pPr>
        <w:ind w:left="720" w:hanging="720"/>
        <w:contextualSpacing/>
      </w:pPr>
      <w:proofErr w:type="gramStart"/>
      <w:r>
        <w:t>Funk, Russell J. and Daniel Hirschman.</w:t>
      </w:r>
      <w:proofErr w:type="gramEnd"/>
      <w:r>
        <w:t xml:space="preserve"> 2014. “Derivatives and Deregulation: Financial Innovation and the Demise of Glass-Steagall” </w:t>
      </w:r>
      <w:r>
        <w:rPr>
          <w:i/>
        </w:rPr>
        <w:t xml:space="preserve">Administrative Science Quarterly </w:t>
      </w:r>
      <w:r>
        <w:t>59(4): 669-704.</w:t>
      </w:r>
    </w:p>
    <w:p w14:paraId="2B2DC9AE" w14:textId="77777777" w:rsidR="004624ED" w:rsidRPr="00EA34CF" w:rsidRDefault="004624ED" w:rsidP="004624ED">
      <w:pPr>
        <w:ind w:left="720" w:hanging="720"/>
        <w:contextualSpacing/>
        <w:rPr>
          <w:color w:val="000000" w:themeColor="text1"/>
          <w:lang w:eastAsia="ja-JP"/>
        </w:rPr>
      </w:pPr>
      <w:proofErr w:type="gramStart"/>
      <w:r w:rsidRPr="00A35B51">
        <w:rPr>
          <w:rFonts w:eastAsia="Times New Roman"/>
        </w:rPr>
        <w:t>Furlong</w:t>
      </w:r>
      <w:r>
        <w:rPr>
          <w:rFonts w:eastAsia="Times New Roman"/>
        </w:rPr>
        <w:t>, Frederick T.</w:t>
      </w:r>
      <w:r w:rsidRPr="00A35B51">
        <w:rPr>
          <w:rFonts w:eastAsia="Times New Roman"/>
        </w:rPr>
        <w:t xml:space="preserve"> and </w:t>
      </w:r>
      <w:r>
        <w:rPr>
          <w:rFonts w:eastAsia="Times New Roman"/>
        </w:rPr>
        <w:t xml:space="preserve">Michael C. </w:t>
      </w:r>
      <w:r w:rsidRPr="00A35B51">
        <w:rPr>
          <w:rFonts w:eastAsia="Times New Roman"/>
        </w:rPr>
        <w:t>Keeley</w:t>
      </w:r>
      <w:r>
        <w:rPr>
          <w:rFonts w:eastAsia="Times New Roman"/>
        </w:rPr>
        <w:t>.</w:t>
      </w:r>
      <w:proofErr w:type="gramEnd"/>
      <w:r w:rsidRPr="00A35B51">
        <w:rPr>
          <w:rFonts w:eastAsia="Times New Roman"/>
        </w:rPr>
        <w:t xml:space="preserve"> 1989</w:t>
      </w:r>
      <w:r>
        <w:rPr>
          <w:rFonts w:eastAsia="Times New Roman"/>
        </w:rPr>
        <w:t xml:space="preserve">. “Capital Regulation and Bank Risk-Taking: A Note” </w:t>
      </w:r>
      <w:r>
        <w:rPr>
          <w:rFonts w:eastAsia="Times New Roman"/>
          <w:i/>
        </w:rPr>
        <w:t xml:space="preserve">Journal of Banking and Finance </w:t>
      </w:r>
      <w:r>
        <w:rPr>
          <w:rFonts w:eastAsia="Times New Roman"/>
        </w:rPr>
        <w:t>13(6): 883-891.</w:t>
      </w:r>
    </w:p>
    <w:p w14:paraId="169EE4A4" w14:textId="5B62CBBD" w:rsidR="004624ED" w:rsidRDefault="004624ED" w:rsidP="004624ED">
      <w:pPr>
        <w:ind w:left="720" w:hanging="720"/>
        <w:contextualSpacing/>
        <w:rPr>
          <w:color w:val="000000" w:themeColor="text1"/>
        </w:rPr>
      </w:pPr>
      <w:r w:rsidRPr="009713C2">
        <w:t xml:space="preserve">Galloway, Tina M., Winson B. Lee, and Dianne M. Roden. </w:t>
      </w:r>
      <w:r w:rsidR="005C1256">
        <w:t xml:space="preserve">1997. </w:t>
      </w:r>
      <w:r w:rsidRPr="009713C2">
        <w:t>"Banks' changing incentives and opportunities for risk taking." </w:t>
      </w:r>
      <w:r w:rsidRPr="009713C2">
        <w:rPr>
          <w:i/>
          <w:iCs/>
        </w:rPr>
        <w:t>Journal of Banking &amp; Finance</w:t>
      </w:r>
      <w:r w:rsidR="005C1256">
        <w:rPr>
          <w:i/>
          <w:iCs/>
        </w:rPr>
        <w:t xml:space="preserve"> </w:t>
      </w:r>
      <w:r w:rsidRPr="009713C2">
        <w:t>21.4: 509-527.</w:t>
      </w:r>
    </w:p>
    <w:p w14:paraId="68B6258B" w14:textId="77777777" w:rsidR="004624ED" w:rsidRPr="008C6F2A" w:rsidRDefault="004624ED" w:rsidP="004624ED">
      <w:pPr>
        <w:ind w:left="720" w:hanging="720"/>
        <w:contextualSpacing/>
        <w:rPr>
          <w:color w:val="000000" w:themeColor="text1"/>
          <w:lang w:eastAsia="ja-JP"/>
        </w:rPr>
      </w:pPr>
      <w:r w:rsidRPr="008C6F2A">
        <w:rPr>
          <w:color w:val="000000" w:themeColor="text1"/>
        </w:rPr>
        <w:t xml:space="preserve">Gordon, Jeffrey N. 2007. "The Rise of Independent Directors in the United States, 1950-2005: Of Shareholder Value and Stock Market Prices." </w:t>
      </w:r>
      <w:r w:rsidRPr="008C6F2A">
        <w:rPr>
          <w:i/>
          <w:color w:val="000000" w:themeColor="text1"/>
        </w:rPr>
        <w:t>Stanford Law Review</w:t>
      </w:r>
      <w:r w:rsidRPr="008C6F2A">
        <w:rPr>
          <w:color w:val="000000" w:themeColor="text1"/>
        </w:rPr>
        <w:t xml:space="preserve"> 59:1465-1568.</w:t>
      </w:r>
    </w:p>
    <w:p w14:paraId="2ECB27A7" w14:textId="77777777" w:rsidR="004624ED" w:rsidRDefault="004624ED" w:rsidP="004624ED">
      <w:pPr>
        <w:ind w:left="720" w:hanging="720"/>
        <w:contextualSpacing/>
        <w:rPr>
          <w:color w:val="000000" w:themeColor="text1"/>
          <w:lang w:eastAsia="ja-JP"/>
        </w:rPr>
      </w:pPr>
      <w:r w:rsidRPr="008C6F2A">
        <w:rPr>
          <w:color w:val="000000" w:themeColor="text1"/>
          <w:lang w:eastAsia="ja-JP"/>
        </w:rPr>
        <w:t xml:space="preserve">Gorton, Gary B. 2010. </w:t>
      </w:r>
      <w:r w:rsidRPr="008C6F2A">
        <w:rPr>
          <w:i/>
          <w:iCs/>
          <w:color w:val="000000" w:themeColor="text1"/>
          <w:lang w:eastAsia="ja-JP"/>
        </w:rPr>
        <w:t>Slapped by the Invisible Hand: The Panic of 2007</w:t>
      </w:r>
      <w:r w:rsidRPr="008C6F2A">
        <w:rPr>
          <w:color w:val="000000" w:themeColor="text1"/>
          <w:lang w:eastAsia="ja-JP"/>
        </w:rPr>
        <w:t>. New York: Oxford University Press.</w:t>
      </w:r>
    </w:p>
    <w:p w14:paraId="42BD098F" w14:textId="77777777" w:rsidR="004624ED" w:rsidRPr="00FC0EBF" w:rsidRDefault="004624ED" w:rsidP="004624ED">
      <w:pPr>
        <w:ind w:left="720" w:hanging="720"/>
        <w:contextualSpacing/>
      </w:pPr>
      <w:r w:rsidRPr="001D1E2A">
        <w:t>Greenburger</w:t>
      </w:r>
      <w:r>
        <w:t>, Michael.</w:t>
      </w:r>
      <w:r w:rsidRPr="001D1E2A">
        <w:t xml:space="preserve"> 2010</w:t>
      </w:r>
      <w:r>
        <w:t xml:space="preserve">. “Out of the Black Hole” </w:t>
      </w:r>
      <w:r>
        <w:rPr>
          <w:i/>
        </w:rPr>
        <w:t xml:space="preserve">The American Prospect. </w:t>
      </w:r>
      <w:r>
        <w:t>April 25. &lt;h</w:t>
      </w:r>
      <w:r w:rsidRPr="00FC0EBF">
        <w:t>ttp://prospect.org/article/out-black-hole-0</w:t>
      </w:r>
      <w:r>
        <w:t>&gt;</w:t>
      </w:r>
    </w:p>
    <w:p w14:paraId="69248F42" w14:textId="47D31441" w:rsidR="004624ED" w:rsidRDefault="004624ED" w:rsidP="004624ED">
      <w:pPr>
        <w:ind w:left="720" w:hanging="720"/>
        <w:contextualSpacing/>
      </w:pPr>
      <w:r w:rsidRPr="00F720B2">
        <w:t>Grovum</w:t>
      </w:r>
      <w:r>
        <w:t>, J. 2013</w:t>
      </w:r>
      <w:r w:rsidRPr="006678F3">
        <w:t xml:space="preserve">. </w:t>
      </w:r>
      <w:r w:rsidR="001D1EBD">
        <w:t>“2008 Financial Crisis Impact Still Hurting S</w:t>
      </w:r>
      <w:r w:rsidRPr="006678F3">
        <w:t>tates.</w:t>
      </w:r>
      <w:r w:rsidR="001D1EBD">
        <w:t>”</w:t>
      </w:r>
      <w:r w:rsidRPr="006678F3">
        <w:t xml:space="preserve"> USA Today</w:t>
      </w:r>
      <w:r>
        <w:t>. &lt;</w:t>
      </w:r>
      <w:r w:rsidRPr="006678F3">
        <w:t>http://www.usatoday.com/story/money/business/2013/09/14/impact-on-states-of-2008-financial-crisis/2812691</w:t>
      </w:r>
    </w:p>
    <w:p w14:paraId="3A98CECA" w14:textId="77777777" w:rsidR="004624ED" w:rsidRPr="00680C11" w:rsidRDefault="004624ED" w:rsidP="004624ED">
      <w:pPr>
        <w:ind w:left="720" w:hanging="720"/>
        <w:contextualSpacing/>
        <w:rPr>
          <w:rFonts w:ascii="Times" w:eastAsia="Times New Roman" w:hAnsi="Times"/>
        </w:rPr>
      </w:pPr>
      <w:r w:rsidRPr="00870F6B">
        <w:rPr>
          <w:rFonts w:ascii="Times" w:eastAsia="Times New Roman" w:hAnsi="Times"/>
        </w:rPr>
        <w:t>Gunther</w:t>
      </w:r>
      <w:r>
        <w:rPr>
          <w:rFonts w:ascii="Times" w:eastAsia="Times New Roman" w:hAnsi="Times"/>
        </w:rPr>
        <w:t>, Jeffrey</w:t>
      </w:r>
      <w:r w:rsidRPr="00870F6B">
        <w:rPr>
          <w:rFonts w:ascii="Times" w:eastAsia="Times New Roman" w:hAnsi="Times"/>
        </w:rPr>
        <w:t xml:space="preserve"> and </w:t>
      </w:r>
      <w:r>
        <w:rPr>
          <w:rFonts w:ascii="Times" w:eastAsia="Times New Roman" w:hAnsi="Times"/>
        </w:rPr>
        <w:t xml:space="preserve">Thomas F. </w:t>
      </w:r>
      <w:r w:rsidRPr="00870F6B">
        <w:rPr>
          <w:rFonts w:ascii="Times" w:eastAsia="Times New Roman" w:hAnsi="Times"/>
        </w:rPr>
        <w:t>Siem</w:t>
      </w:r>
      <w:r>
        <w:rPr>
          <w:rFonts w:ascii="Times" w:eastAsia="Times New Roman" w:hAnsi="Times"/>
        </w:rPr>
        <w:t>s. 1996. “The Likelihood and Extent of Banks’ Involvement with I</w:t>
      </w:r>
      <w:r w:rsidRPr="00E1451F">
        <w:rPr>
          <w:rFonts w:ascii="Times" w:eastAsia="Times New Roman" w:hAnsi="Times"/>
        </w:rPr>
        <w:t>nteres</w:t>
      </w:r>
      <w:r>
        <w:rPr>
          <w:rFonts w:ascii="Times" w:eastAsia="Times New Roman" w:hAnsi="Times"/>
        </w:rPr>
        <w:t xml:space="preserve">t-rate Derivatives as End-users” </w:t>
      </w:r>
      <w:r>
        <w:rPr>
          <w:rFonts w:ascii="Times" w:eastAsia="Times New Roman" w:hAnsi="Times"/>
          <w:i/>
        </w:rPr>
        <w:t xml:space="preserve">Research In Finance </w:t>
      </w:r>
      <w:r>
        <w:rPr>
          <w:rFonts w:ascii="Times" w:eastAsia="Times New Roman" w:hAnsi="Times"/>
        </w:rPr>
        <w:t>19: 125-142.</w:t>
      </w:r>
    </w:p>
    <w:p w14:paraId="1341DFDF" w14:textId="77777777" w:rsidR="004624ED" w:rsidRPr="008C6F2A" w:rsidRDefault="004624ED" w:rsidP="004624ED">
      <w:pPr>
        <w:ind w:left="720" w:hanging="720"/>
        <w:contextualSpacing/>
        <w:rPr>
          <w:color w:val="000000" w:themeColor="text1"/>
          <w:lang w:eastAsia="ja-JP"/>
        </w:rPr>
      </w:pPr>
      <w:proofErr w:type="gramStart"/>
      <w:r w:rsidRPr="008C6F2A">
        <w:rPr>
          <w:color w:val="000000" w:themeColor="text1"/>
          <w:lang w:eastAsia="ja-JP"/>
        </w:rPr>
        <w:t>Hambrick, Donald C. and Sydney Finkelstein.</w:t>
      </w:r>
      <w:proofErr w:type="gramEnd"/>
      <w:r w:rsidRPr="008C6F2A">
        <w:rPr>
          <w:color w:val="000000" w:themeColor="text1"/>
          <w:lang w:eastAsia="ja-JP"/>
        </w:rPr>
        <w:t xml:space="preserve"> 1995. “The Effects of Ownership Structure on Conditions at the Top: The Case of CEO Pay Raises.” </w:t>
      </w:r>
      <w:r w:rsidRPr="008C6F2A">
        <w:rPr>
          <w:i/>
          <w:iCs/>
          <w:color w:val="000000" w:themeColor="text1"/>
          <w:lang w:eastAsia="ja-JP"/>
        </w:rPr>
        <w:t>Strategic Management Journal</w:t>
      </w:r>
      <w:r w:rsidRPr="008C6F2A">
        <w:rPr>
          <w:color w:val="000000" w:themeColor="text1"/>
          <w:lang w:eastAsia="ja-JP"/>
        </w:rPr>
        <w:t xml:space="preserve"> 16:175-193.</w:t>
      </w:r>
    </w:p>
    <w:p w14:paraId="6136223C" w14:textId="77777777" w:rsidR="004624ED" w:rsidRPr="008C6F2A" w:rsidRDefault="004624ED" w:rsidP="004624ED">
      <w:pPr>
        <w:ind w:left="720" w:hanging="720"/>
        <w:contextualSpacing/>
        <w:rPr>
          <w:color w:val="000000" w:themeColor="text1"/>
        </w:rPr>
      </w:pPr>
      <w:r w:rsidRPr="008C6F2A">
        <w:rPr>
          <w:rFonts w:eastAsia="Univers-CondensedLight"/>
          <w:color w:val="000000" w:themeColor="text1"/>
          <w:lang w:eastAsia="ja-JP"/>
        </w:rPr>
        <w:t xml:space="preserve">Heckman, James J. 1974. “Shadow Prices, Market Wages, and Labor Supply.” </w:t>
      </w:r>
      <w:r w:rsidRPr="008C6F2A">
        <w:rPr>
          <w:rFonts w:eastAsia="Univers-CondensedLight"/>
          <w:i/>
          <w:iCs/>
          <w:color w:val="000000" w:themeColor="text1"/>
          <w:lang w:eastAsia="ja-JP"/>
        </w:rPr>
        <w:t xml:space="preserve">Econometrica </w:t>
      </w:r>
      <w:r w:rsidRPr="008C6F2A">
        <w:rPr>
          <w:rFonts w:eastAsia="Univers-CondensedLight"/>
          <w:color w:val="000000" w:themeColor="text1"/>
          <w:lang w:eastAsia="ja-JP"/>
        </w:rPr>
        <w:t>42(4)</w:t>
      </w:r>
      <w:proofErr w:type="gramStart"/>
      <w:r w:rsidRPr="008C6F2A">
        <w:rPr>
          <w:rFonts w:eastAsia="Univers-CondensedLight"/>
          <w:color w:val="000000" w:themeColor="text1"/>
          <w:lang w:eastAsia="ja-JP"/>
        </w:rPr>
        <w:t>:679</w:t>
      </w:r>
      <w:proofErr w:type="gramEnd"/>
      <w:r w:rsidRPr="008C6F2A">
        <w:rPr>
          <w:rFonts w:eastAsia="Univers-CondensedLight"/>
          <w:color w:val="000000" w:themeColor="text1"/>
          <w:lang w:eastAsia="ja-JP"/>
        </w:rPr>
        <w:t>–94.</w:t>
      </w:r>
    </w:p>
    <w:p w14:paraId="74CC48C9" w14:textId="77777777" w:rsidR="004624ED" w:rsidRPr="00C873AA" w:rsidRDefault="004624ED" w:rsidP="004624ED">
      <w:pPr>
        <w:ind w:left="720" w:hanging="720"/>
        <w:contextualSpacing/>
        <w:rPr>
          <w:color w:val="000000" w:themeColor="text1"/>
        </w:rPr>
      </w:pPr>
      <w:r w:rsidRPr="008C6F2A">
        <w:rPr>
          <w:color w:val="000000" w:themeColor="text1"/>
        </w:rPr>
        <w:lastRenderedPageBreak/>
        <w:t xml:space="preserve">Hera, Ron. </w:t>
      </w:r>
      <w:proofErr w:type="gramStart"/>
      <w:r w:rsidRPr="008C6F2A">
        <w:rPr>
          <w:color w:val="000000" w:themeColor="text1"/>
        </w:rPr>
        <w:t xml:space="preserve">2011. “Forget About Housing, The Real Cause of the Crisis was OTC Derivatives” </w:t>
      </w:r>
      <w:r w:rsidRPr="008C6F2A">
        <w:rPr>
          <w:i/>
          <w:color w:val="000000" w:themeColor="text1"/>
        </w:rPr>
        <w:t>Business Insider.</w:t>
      </w:r>
      <w:proofErr w:type="gramEnd"/>
      <w:r w:rsidRPr="008C6F2A">
        <w:rPr>
          <w:i/>
          <w:color w:val="000000" w:themeColor="text1"/>
        </w:rPr>
        <w:t xml:space="preserve"> </w:t>
      </w:r>
      <w:r w:rsidRPr="008C6F2A">
        <w:rPr>
          <w:color w:val="000000" w:themeColor="text1"/>
        </w:rPr>
        <w:t xml:space="preserve">May 11. </w:t>
      </w:r>
      <w:r w:rsidRPr="00AF64B0">
        <w:rPr>
          <w:color w:val="000000" w:themeColor="text1"/>
        </w:rPr>
        <w:t>&lt;</w:t>
      </w:r>
      <w:hyperlink r:id="rId11" w:history="1">
        <w:r w:rsidRPr="00AF64B0">
          <w:rPr>
            <w:rStyle w:val="Hyperlink"/>
            <w:color w:val="000000" w:themeColor="text1"/>
            <w:u w:val="none"/>
          </w:rPr>
          <w:t>http://www.businessinsider.com/bubble-derivatives-otc-2010-5</w:t>
        </w:r>
      </w:hyperlink>
      <w:r w:rsidRPr="00AF64B0">
        <w:rPr>
          <w:color w:val="000000" w:themeColor="text1"/>
        </w:rPr>
        <w:t>&gt;</w:t>
      </w:r>
    </w:p>
    <w:p w14:paraId="5C1143EC" w14:textId="77777777" w:rsidR="004624ED" w:rsidRPr="008C6F2A" w:rsidRDefault="004624ED" w:rsidP="004624ED">
      <w:pPr>
        <w:ind w:left="720" w:hanging="720"/>
        <w:contextualSpacing/>
        <w:rPr>
          <w:color w:val="000000" w:themeColor="text1"/>
        </w:rPr>
      </w:pPr>
      <w:r w:rsidRPr="00C873AA">
        <w:t xml:space="preserve">Hirtle, Beverly. 2009. "Credit derivatives and bank </w:t>
      </w:r>
      <w:r w:rsidRPr="001304A0">
        <w:t>credit supply." </w:t>
      </w:r>
      <w:r w:rsidRPr="001304A0">
        <w:rPr>
          <w:i/>
          <w:iCs/>
        </w:rPr>
        <w:t>Journal of Financial Intermediation</w:t>
      </w:r>
      <w:r>
        <w:t> 18(2)</w:t>
      </w:r>
      <w:r w:rsidRPr="001304A0">
        <w:t>: 125-150.</w:t>
      </w:r>
    </w:p>
    <w:p w14:paraId="1D67AD26" w14:textId="77777777" w:rsidR="004624ED" w:rsidRDefault="004624ED" w:rsidP="004624ED">
      <w:pPr>
        <w:tabs>
          <w:tab w:val="left" w:pos="7560"/>
        </w:tabs>
        <w:ind w:left="720" w:hanging="720"/>
        <w:contextualSpacing/>
        <w:rPr>
          <w:color w:val="000000" w:themeColor="text1"/>
        </w:rPr>
      </w:pPr>
      <w:proofErr w:type="gramStart"/>
      <w:r w:rsidRPr="008C6F2A">
        <w:rPr>
          <w:color w:val="000000" w:themeColor="text1"/>
        </w:rPr>
        <w:t>Houston, Joel F., Chen Lin, Ping Lin, and Yue Ma.</w:t>
      </w:r>
      <w:proofErr w:type="gramEnd"/>
      <w:r w:rsidRPr="008C6F2A">
        <w:rPr>
          <w:color w:val="000000" w:themeColor="text1"/>
        </w:rPr>
        <w:t xml:space="preserve"> 2010. Creditor Rights, Information Sharing, and Bank Risk-Taking. </w:t>
      </w:r>
      <w:r w:rsidRPr="008C6F2A">
        <w:rPr>
          <w:i/>
          <w:color w:val="000000" w:themeColor="text1"/>
        </w:rPr>
        <w:t xml:space="preserve">Journal of Financial Economics </w:t>
      </w:r>
      <w:r w:rsidRPr="008C6F2A">
        <w:rPr>
          <w:color w:val="000000" w:themeColor="text1"/>
        </w:rPr>
        <w:t>96(3): 485-512.</w:t>
      </w:r>
    </w:p>
    <w:p w14:paraId="2D6A3A50" w14:textId="77777777" w:rsidR="004624ED" w:rsidRDefault="004624ED" w:rsidP="004624ED">
      <w:pPr>
        <w:tabs>
          <w:tab w:val="left" w:pos="7560"/>
        </w:tabs>
        <w:ind w:left="720" w:hanging="720"/>
        <w:contextualSpacing/>
      </w:pPr>
      <w:r w:rsidRPr="00F720B2">
        <w:t>Hurd</w:t>
      </w:r>
      <w:r>
        <w:t>, Michael D.</w:t>
      </w:r>
      <w:r w:rsidRPr="00F720B2">
        <w:t xml:space="preserve"> and </w:t>
      </w:r>
      <w:r>
        <w:t xml:space="preserve">Susann </w:t>
      </w:r>
      <w:r w:rsidRPr="00F720B2">
        <w:t>Rohwedder</w:t>
      </w:r>
      <w:r>
        <w:t>.</w:t>
      </w:r>
      <w:r w:rsidRPr="00F720B2">
        <w:t xml:space="preserve"> </w:t>
      </w:r>
      <w:proofErr w:type="gramStart"/>
      <w:r w:rsidRPr="00F720B2">
        <w:t>2010</w:t>
      </w:r>
      <w:r>
        <w:t>. “</w:t>
      </w:r>
      <w:r w:rsidRPr="00DB4E6A">
        <w:t>Effects of the Financial Crisis and Great Recession on American Households</w:t>
      </w:r>
      <w:r>
        <w:t xml:space="preserve">” </w:t>
      </w:r>
      <w:r w:rsidRPr="00AF31E3">
        <w:rPr>
          <w:i/>
        </w:rPr>
        <w:t>National Bureau of Economic Research Working Paper</w:t>
      </w:r>
      <w:r>
        <w:t xml:space="preserve"> No.</w:t>
      </w:r>
      <w:proofErr w:type="gramEnd"/>
      <w:r>
        <w:t xml:space="preserve"> </w:t>
      </w:r>
      <w:proofErr w:type="gramStart"/>
      <w:r w:rsidRPr="00AF31E3">
        <w:t>w16407</w:t>
      </w:r>
      <w:proofErr w:type="gramEnd"/>
    </w:p>
    <w:p w14:paraId="5F4BC8AE" w14:textId="77777777" w:rsidR="004624ED" w:rsidRDefault="004624ED" w:rsidP="004624ED">
      <w:pPr>
        <w:rPr>
          <w:rFonts w:eastAsia="Times New Roman"/>
        </w:rPr>
      </w:pPr>
      <w:r>
        <w:rPr>
          <w:rFonts w:eastAsia="Times New Roman"/>
          <w:color w:val="000000"/>
        </w:rPr>
        <w:t>Investment Company Institute. 2007</w:t>
      </w:r>
      <w:r w:rsidRPr="00CE6C77">
        <w:rPr>
          <w:rFonts w:eastAsia="Times New Roman"/>
          <w:color w:val="000000"/>
        </w:rPr>
        <w:t>. “</w:t>
      </w:r>
      <w:r w:rsidRPr="00CE6C77">
        <w:rPr>
          <w:rFonts w:eastAsia="Times New Roman"/>
        </w:rPr>
        <w:t xml:space="preserve">Chief Risk Officers in the Mutual Fund Industry: </w:t>
      </w:r>
    </w:p>
    <w:p w14:paraId="795EAF32" w14:textId="77777777" w:rsidR="004624ED" w:rsidRPr="00CE6C77" w:rsidRDefault="004624ED" w:rsidP="004624ED">
      <w:pPr>
        <w:ind w:left="720"/>
        <w:rPr>
          <w:rFonts w:eastAsia="Times New Roman"/>
        </w:rPr>
      </w:pPr>
      <w:r w:rsidRPr="00CE6C77">
        <w:rPr>
          <w:rFonts w:eastAsia="Times New Roman"/>
        </w:rPr>
        <w:t>Who Are They and What Is Their Role Within the Organization?”</w:t>
      </w:r>
      <w:r>
        <w:rPr>
          <w:rFonts w:eastAsia="Times New Roman"/>
        </w:rPr>
        <w:t xml:space="preserve"> &lt;</w:t>
      </w:r>
      <w:r w:rsidRPr="00CE6C77">
        <w:rPr>
          <w:rFonts w:eastAsia="Times New Roman"/>
        </w:rPr>
        <w:t>https://www.ici.org/pdf/21437.pdf</w:t>
      </w:r>
      <w:proofErr w:type="gramStart"/>
      <w:r>
        <w:rPr>
          <w:rFonts w:eastAsia="Times New Roman"/>
        </w:rPr>
        <w:t>?&gt;</w:t>
      </w:r>
      <w:proofErr w:type="gramEnd"/>
    </w:p>
    <w:p w14:paraId="40741843" w14:textId="77777777" w:rsidR="004624ED" w:rsidRDefault="004624ED" w:rsidP="004624ED">
      <w:r w:rsidRPr="00633C33">
        <w:t>Jennings, P.</w:t>
      </w:r>
      <w:r>
        <w:t xml:space="preserve"> </w:t>
      </w:r>
      <w:r w:rsidRPr="00633C33">
        <w:t>D</w:t>
      </w:r>
      <w:r>
        <w:t>everaux</w:t>
      </w:r>
      <w:r w:rsidRPr="00633C33">
        <w:t xml:space="preserve"> and Zandbergen, P</w:t>
      </w:r>
      <w:r>
        <w:t>aul A</w:t>
      </w:r>
      <w:r w:rsidRPr="00633C33">
        <w:t xml:space="preserve">. 1995. “Ecologically Sustainable </w:t>
      </w:r>
    </w:p>
    <w:p w14:paraId="40D388FF" w14:textId="77777777" w:rsidR="004624ED" w:rsidRDefault="004624ED" w:rsidP="004624ED">
      <w:pPr>
        <w:ind w:left="720"/>
      </w:pPr>
      <w:r>
        <w:t xml:space="preserve">Organizations: An Institutional </w:t>
      </w:r>
      <w:r w:rsidRPr="00633C33">
        <w:t xml:space="preserve">Approach.” </w:t>
      </w:r>
      <w:proofErr w:type="gramStart"/>
      <w:r w:rsidRPr="00633C33">
        <w:t>Academy of Management Review.</w:t>
      </w:r>
      <w:proofErr w:type="gramEnd"/>
      <w:r w:rsidRPr="00633C33">
        <w:t xml:space="preserve"> 20 (4): 1015-1052.</w:t>
      </w:r>
    </w:p>
    <w:p w14:paraId="0E3B837E" w14:textId="77777777" w:rsidR="004624ED" w:rsidRPr="008C6F2A" w:rsidRDefault="004624ED" w:rsidP="004624ED">
      <w:pPr>
        <w:ind w:left="720" w:hanging="720"/>
        <w:contextualSpacing/>
        <w:rPr>
          <w:color w:val="000000" w:themeColor="text1"/>
          <w:lang w:eastAsia="ja-JP"/>
        </w:rPr>
      </w:pPr>
      <w:proofErr w:type="gramStart"/>
      <w:r w:rsidRPr="008C6F2A">
        <w:rPr>
          <w:color w:val="000000" w:themeColor="text1"/>
          <w:lang w:eastAsia="ja-JP"/>
        </w:rPr>
        <w:t>Jensen, Michael C. and William H. Meckling.</w:t>
      </w:r>
      <w:proofErr w:type="gramEnd"/>
      <w:r w:rsidRPr="008C6F2A">
        <w:rPr>
          <w:color w:val="000000" w:themeColor="text1"/>
          <w:lang w:eastAsia="ja-JP"/>
        </w:rPr>
        <w:t xml:space="preserve"> 1976. “Theory of the Firm: Managerial Behavior, Agency Costs and Ownership Structure.” </w:t>
      </w:r>
      <w:proofErr w:type="gramStart"/>
      <w:r w:rsidRPr="008C6F2A">
        <w:rPr>
          <w:i/>
          <w:iCs/>
          <w:color w:val="000000" w:themeColor="text1"/>
          <w:lang w:eastAsia="ja-JP"/>
        </w:rPr>
        <w:t>Journal of Financial Economics</w:t>
      </w:r>
      <w:r w:rsidRPr="008C6F2A">
        <w:rPr>
          <w:color w:val="000000" w:themeColor="text1"/>
          <w:lang w:eastAsia="ja-JP"/>
        </w:rPr>
        <w:t xml:space="preserve"> 3:305–60.</w:t>
      </w:r>
      <w:proofErr w:type="gramEnd"/>
    </w:p>
    <w:p w14:paraId="1C303EFC" w14:textId="77777777" w:rsidR="004624ED" w:rsidRDefault="004624ED" w:rsidP="004624ED">
      <w:pPr>
        <w:ind w:left="720" w:hanging="720"/>
        <w:contextualSpacing/>
        <w:rPr>
          <w:color w:val="000000" w:themeColor="text1"/>
        </w:rPr>
      </w:pPr>
      <w:r w:rsidRPr="008C6F2A">
        <w:rPr>
          <w:color w:val="000000" w:themeColor="text1"/>
        </w:rPr>
        <w:t xml:space="preserve">Johnson, Simon and James Kwak. 2010. </w:t>
      </w:r>
      <w:r w:rsidRPr="008C6F2A">
        <w:rPr>
          <w:i/>
          <w:color w:val="000000" w:themeColor="text1"/>
        </w:rPr>
        <w:t>13 Bankers: The Wall Street Takeover and the Next Financial Meltdown.</w:t>
      </w:r>
      <w:r w:rsidRPr="008C6F2A">
        <w:rPr>
          <w:color w:val="000000" w:themeColor="text1"/>
        </w:rPr>
        <w:t xml:space="preserve"> New York: Pantheon Books.</w:t>
      </w:r>
    </w:p>
    <w:p w14:paraId="01ED0498" w14:textId="77777777" w:rsidR="004624ED" w:rsidRPr="003E2F5C" w:rsidRDefault="004624ED" w:rsidP="004624ED">
      <w:pPr>
        <w:ind w:left="720" w:hanging="720"/>
        <w:contextualSpacing/>
        <w:rPr>
          <w:color w:val="000000" w:themeColor="text1"/>
        </w:rPr>
      </w:pPr>
      <w:r>
        <w:rPr>
          <w:color w:val="000000" w:themeColor="text1"/>
        </w:rPr>
        <w:t xml:space="preserve">Jung, Jiwook. 2016. “Through the Contested Terrain: Implementation of Downsizing Announcements by Large U.S Firms, 1984 to 2005” </w:t>
      </w:r>
      <w:r>
        <w:rPr>
          <w:i/>
          <w:color w:val="000000" w:themeColor="text1"/>
        </w:rPr>
        <w:t xml:space="preserve">American Sociological </w:t>
      </w:r>
      <w:r w:rsidRPr="003E2F5C">
        <w:rPr>
          <w:i/>
          <w:color w:val="000000" w:themeColor="text1"/>
        </w:rPr>
        <w:t xml:space="preserve">Review </w:t>
      </w:r>
      <w:r w:rsidRPr="003E2F5C">
        <w:rPr>
          <w:color w:val="000000" w:themeColor="text1"/>
        </w:rPr>
        <w:t>81(2): 347-373.</w:t>
      </w:r>
    </w:p>
    <w:p w14:paraId="7CD5F3C9" w14:textId="77777777" w:rsidR="004624ED" w:rsidRPr="003E2F5C" w:rsidRDefault="004624ED" w:rsidP="004624ED">
      <w:pPr>
        <w:ind w:left="720" w:hanging="720"/>
        <w:contextualSpacing/>
        <w:rPr>
          <w:color w:val="000000" w:themeColor="text1"/>
          <w:lang w:eastAsia="ja-JP"/>
        </w:rPr>
      </w:pPr>
      <w:r w:rsidRPr="003E2F5C">
        <w:rPr>
          <w:color w:val="000000" w:themeColor="text1"/>
          <w:lang w:eastAsia="ja-JP"/>
        </w:rPr>
        <w:t xml:space="preserve">Kalev, Alexandra, Frank Dobbin, and Erin Kelly. 2006. “Best Practices or Best Guesses? Assessing the Efficacy of Corporate Affirmative Action and Diversity Policies.” </w:t>
      </w:r>
      <w:proofErr w:type="gramStart"/>
      <w:r w:rsidRPr="003E2F5C">
        <w:rPr>
          <w:i/>
          <w:iCs/>
          <w:color w:val="000000" w:themeColor="text1"/>
          <w:lang w:eastAsia="ja-JP"/>
        </w:rPr>
        <w:t>American Sociological Review</w:t>
      </w:r>
      <w:r w:rsidRPr="003E2F5C">
        <w:rPr>
          <w:color w:val="000000" w:themeColor="text1"/>
          <w:lang w:eastAsia="ja-JP"/>
        </w:rPr>
        <w:t xml:space="preserve"> 71:589–617.</w:t>
      </w:r>
      <w:proofErr w:type="gramEnd"/>
    </w:p>
    <w:p w14:paraId="36F66B8C" w14:textId="77777777" w:rsidR="004624ED" w:rsidRPr="00BB7AAE" w:rsidRDefault="004624ED" w:rsidP="004624ED">
      <w:pPr>
        <w:ind w:left="720" w:hanging="720"/>
        <w:contextualSpacing/>
        <w:rPr>
          <w:color w:val="000000" w:themeColor="text1"/>
          <w:lang w:eastAsia="ja-JP"/>
        </w:rPr>
      </w:pPr>
      <w:r w:rsidRPr="003E2F5C">
        <w:rPr>
          <w:rFonts w:eastAsia="Times New Roman"/>
        </w:rPr>
        <w:t>Keeley</w:t>
      </w:r>
      <w:r>
        <w:rPr>
          <w:rFonts w:eastAsia="Times New Roman"/>
        </w:rPr>
        <w:t>, Michael C.</w:t>
      </w:r>
      <w:r w:rsidRPr="003E2F5C">
        <w:rPr>
          <w:rFonts w:eastAsia="Times New Roman"/>
        </w:rPr>
        <w:t xml:space="preserve"> 1990</w:t>
      </w:r>
      <w:r>
        <w:rPr>
          <w:rFonts w:eastAsia="Times New Roman"/>
        </w:rPr>
        <w:t xml:space="preserve">. “Deposit Insurance, Risk, and Market Power in Banking” </w:t>
      </w:r>
      <w:r>
        <w:rPr>
          <w:rFonts w:eastAsia="Times New Roman"/>
          <w:i/>
        </w:rPr>
        <w:t xml:space="preserve">The American Economic Review </w:t>
      </w:r>
      <w:r>
        <w:rPr>
          <w:rFonts w:eastAsia="Times New Roman"/>
        </w:rPr>
        <w:t>80(5): 1183-1200.</w:t>
      </w:r>
    </w:p>
    <w:p w14:paraId="26889847" w14:textId="77777777" w:rsidR="004624ED" w:rsidRDefault="004624ED" w:rsidP="004624ED">
      <w:pPr>
        <w:ind w:left="720" w:hanging="720"/>
        <w:contextualSpacing/>
        <w:rPr>
          <w:noProof/>
          <w:color w:val="000000" w:themeColor="text1"/>
        </w:rPr>
      </w:pPr>
      <w:r w:rsidRPr="008C6F2A">
        <w:rPr>
          <w:noProof/>
          <w:color w:val="000000" w:themeColor="text1"/>
        </w:rPr>
        <w:t xml:space="preserve">Kellogg, Katherine C.  2009. “Operating Room: Relational Spaces and Microinstitutional Change in Surgery.” </w:t>
      </w:r>
      <w:r w:rsidRPr="008C6F2A">
        <w:rPr>
          <w:i/>
          <w:noProof/>
          <w:color w:val="000000" w:themeColor="text1"/>
        </w:rPr>
        <w:t>American Journal of Sociology</w:t>
      </w:r>
      <w:r w:rsidRPr="008C6F2A">
        <w:rPr>
          <w:noProof/>
          <w:color w:val="000000" w:themeColor="text1"/>
        </w:rPr>
        <w:t xml:space="preserve"> 115(3):657-711.</w:t>
      </w:r>
    </w:p>
    <w:p w14:paraId="61469B08" w14:textId="77777777" w:rsidR="004624ED" w:rsidRPr="00625C8C" w:rsidRDefault="004624ED" w:rsidP="004624ED">
      <w:pPr>
        <w:ind w:left="720" w:hanging="720"/>
        <w:contextualSpacing/>
        <w:rPr>
          <w:rFonts w:ascii="Times" w:eastAsia="Times New Roman" w:hAnsi="Times"/>
        </w:rPr>
      </w:pPr>
      <w:r>
        <w:rPr>
          <w:rFonts w:ascii="Times" w:eastAsia="Times New Roman" w:hAnsi="Times"/>
        </w:rPr>
        <w:t>Kim, Sung-Hwa and G.D. Koppenhaver.</w:t>
      </w:r>
      <w:r w:rsidRPr="00870F6B">
        <w:rPr>
          <w:rFonts w:ascii="Times" w:eastAsia="Times New Roman" w:hAnsi="Times"/>
        </w:rPr>
        <w:t xml:space="preserve"> </w:t>
      </w:r>
      <w:proofErr w:type="gramStart"/>
      <w:r w:rsidRPr="00870F6B">
        <w:rPr>
          <w:rFonts w:ascii="Times" w:eastAsia="Times New Roman" w:hAnsi="Times"/>
        </w:rPr>
        <w:t>1993</w:t>
      </w:r>
      <w:r>
        <w:rPr>
          <w:rFonts w:ascii="Times" w:eastAsia="Times New Roman" w:hAnsi="Times"/>
        </w:rPr>
        <w:t>. “An Empirical Analysis of Bank Interest Rate Swaps”</w:t>
      </w:r>
      <w:r w:rsidRPr="00625C8C">
        <w:rPr>
          <w:rFonts w:ascii="Times" w:eastAsia="Times New Roman" w:hAnsi="Times"/>
        </w:rPr>
        <w:t xml:space="preserve"> </w:t>
      </w:r>
      <w:r w:rsidRPr="00625C8C">
        <w:rPr>
          <w:rFonts w:ascii="Times" w:eastAsia="Times New Roman" w:hAnsi="Times"/>
          <w:i/>
        </w:rPr>
        <w:t>Journal of Financial Services Research</w:t>
      </w:r>
      <w:r>
        <w:rPr>
          <w:rFonts w:ascii="Times" w:eastAsia="Times New Roman" w:hAnsi="Times"/>
        </w:rPr>
        <w:t xml:space="preserve"> 7(1):</w:t>
      </w:r>
      <w:r w:rsidRPr="00625C8C">
        <w:rPr>
          <w:rFonts w:ascii="Times" w:eastAsia="Times New Roman" w:hAnsi="Times"/>
        </w:rPr>
        <w:t xml:space="preserve"> 57–72</w:t>
      </w:r>
      <w:r>
        <w:rPr>
          <w:rFonts w:ascii="Times" w:eastAsia="Times New Roman" w:hAnsi="Times"/>
        </w:rPr>
        <w:t>.</w:t>
      </w:r>
      <w:proofErr w:type="gramEnd"/>
      <w:r w:rsidRPr="008C6F2A">
        <w:rPr>
          <w:rFonts w:ascii="Arial" w:hAnsi="Arial" w:cs="Arial"/>
          <w:color w:val="000000" w:themeColor="text1"/>
          <w:lang w:eastAsia="ja-JP"/>
        </w:rPr>
        <w:t xml:space="preserve"> </w:t>
      </w:r>
    </w:p>
    <w:p w14:paraId="6CB6676F" w14:textId="77777777" w:rsidR="004624ED" w:rsidRPr="008C6F2A" w:rsidRDefault="004624ED" w:rsidP="004624ED">
      <w:pPr>
        <w:ind w:left="720" w:hanging="720"/>
        <w:contextualSpacing/>
        <w:rPr>
          <w:noProof/>
          <w:color w:val="000000" w:themeColor="text1"/>
        </w:rPr>
      </w:pPr>
      <w:r w:rsidRPr="008C6F2A">
        <w:rPr>
          <w:color w:val="000000" w:themeColor="text1"/>
          <w:lang w:eastAsia="ja-JP"/>
        </w:rPr>
        <w:t xml:space="preserve">King, Gary, James Honaker, Anne Joseph, and Kenneth Scheve. 2001. “Analyzing Incomplete Political Science Data: An Alternative Algorithm for Multiple Imputation.” </w:t>
      </w:r>
      <w:r w:rsidRPr="008C6F2A">
        <w:rPr>
          <w:i/>
          <w:color w:val="000000" w:themeColor="text1"/>
          <w:lang w:eastAsia="ja-JP"/>
        </w:rPr>
        <w:t xml:space="preserve">American Political Science Review </w:t>
      </w:r>
      <w:r w:rsidRPr="008C6F2A">
        <w:rPr>
          <w:color w:val="000000" w:themeColor="text1"/>
          <w:lang w:eastAsia="ja-JP"/>
        </w:rPr>
        <w:t>95(1)</w:t>
      </w:r>
      <w:proofErr w:type="gramStart"/>
      <w:r w:rsidRPr="008C6F2A">
        <w:rPr>
          <w:color w:val="000000" w:themeColor="text1"/>
          <w:lang w:eastAsia="ja-JP"/>
        </w:rPr>
        <w:t>:49</w:t>
      </w:r>
      <w:proofErr w:type="gramEnd"/>
      <w:r w:rsidRPr="008C6F2A">
        <w:rPr>
          <w:color w:val="000000" w:themeColor="text1"/>
          <w:lang w:eastAsia="ja-JP"/>
        </w:rPr>
        <w:t>-69.</w:t>
      </w:r>
    </w:p>
    <w:p w14:paraId="2CAAEBE3" w14:textId="77777777" w:rsidR="004624ED" w:rsidRDefault="004624ED" w:rsidP="004624ED">
      <w:pPr>
        <w:ind w:left="720" w:hanging="720"/>
        <w:contextualSpacing/>
        <w:rPr>
          <w:color w:val="000000" w:themeColor="text1"/>
          <w:lang w:eastAsia="ja-JP"/>
        </w:rPr>
      </w:pPr>
      <w:r w:rsidRPr="008C6F2A">
        <w:rPr>
          <w:color w:val="000000" w:themeColor="text1"/>
          <w:lang w:eastAsia="ja-JP"/>
        </w:rPr>
        <w:t>Knopf, John D., Jouahn Nam, and John H. Thornton, Jr. 2002.</w:t>
      </w:r>
      <w:r w:rsidRPr="008C6F2A">
        <w:rPr>
          <w:bCs/>
          <w:color w:val="000000" w:themeColor="text1"/>
          <w:lang w:eastAsia="ja-JP"/>
        </w:rPr>
        <w:t xml:space="preserve"> “The Volatility and Price Sensitivities of Managerial Stock Option Portfolios and Corporate Hedging” </w:t>
      </w:r>
      <w:hyperlink r:id="rId12" w:history="1">
        <w:r w:rsidRPr="00E86015">
          <w:rPr>
            <w:rStyle w:val="Hyperlink"/>
            <w:i/>
            <w:iCs/>
            <w:color w:val="000000" w:themeColor="text1"/>
            <w:lang w:eastAsia="ja-JP"/>
          </w:rPr>
          <w:t>The Journal of Finance</w:t>
        </w:r>
        <w:r w:rsidRPr="008C6F2A">
          <w:rPr>
            <w:rStyle w:val="Hyperlink"/>
            <w:i/>
            <w:iCs/>
            <w:color w:val="000000" w:themeColor="text1"/>
            <w:lang w:eastAsia="ja-JP"/>
          </w:rPr>
          <w:t> </w:t>
        </w:r>
      </w:hyperlink>
      <w:r w:rsidRPr="008C6F2A">
        <w:rPr>
          <w:color w:val="000000" w:themeColor="text1"/>
          <w:lang w:eastAsia="ja-JP"/>
        </w:rPr>
        <w:t>57(2): 801-813.</w:t>
      </w:r>
    </w:p>
    <w:p w14:paraId="34281FEF" w14:textId="77777777" w:rsidR="004624ED" w:rsidRPr="00A65117" w:rsidRDefault="004624ED" w:rsidP="004624ED">
      <w:pPr>
        <w:ind w:left="720" w:hanging="720"/>
        <w:contextualSpacing/>
        <w:rPr>
          <w:rFonts w:ascii="Times" w:eastAsia="Times New Roman" w:hAnsi="Times"/>
        </w:rPr>
      </w:pPr>
      <w:r>
        <w:rPr>
          <w:rFonts w:ascii="Times" w:eastAsia="Times New Roman" w:hAnsi="Times"/>
        </w:rPr>
        <w:t xml:space="preserve">Koppenhaver, G.D. 1990. </w:t>
      </w:r>
      <w:proofErr w:type="gramStart"/>
      <w:r>
        <w:rPr>
          <w:rFonts w:ascii="Times" w:eastAsia="Times New Roman" w:hAnsi="Times"/>
        </w:rPr>
        <w:t xml:space="preserve">“An Empirical Analysis of Bank Hedging in Futures Markets” </w:t>
      </w:r>
      <w:r>
        <w:rPr>
          <w:rFonts w:ascii="Times" w:eastAsia="Times New Roman" w:hAnsi="Times"/>
          <w:i/>
        </w:rPr>
        <w:t xml:space="preserve">Journal of Futures Markets </w:t>
      </w:r>
      <w:r>
        <w:rPr>
          <w:rFonts w:ascii="Times" w:eastAsia="Times New Roman" w:hAnsi="Times"/>
        </w:rPr>
        <w:t>10(1): 1-12.</w:t>
      </w:r>
      <w:proofErr w:type="gramEnd"/>
    </w:p>
    <w:p w14:paraId="025DDDB5" w14:textId="77777777" w:rsidR="004624ED" w:rsidRPr="008C6F2A" w:rsidRDefault="004624ED" w:rsidP="004624ED">
      <w:pPr>
        <w:ind w:left="720" w:hanging="720"/>
        <w:contextualSpacing/>
        <w:rPr>
          <w:color w:val="000000" w:themeColor="text1"/>
        </w:rPr>
      </w:pPr>
      <w:r w:rsidRPr="008C6F2A">
        <w:rPr>
          <w:color w:val="000000" w:themeColor="text1"/>
        </w:rPr>
        <w:t xml:space="preserve">Lam, James C. and Brian M. Kawamoto. </w:t>
      </w:r>
      <w:proofErr w:type="gramStart"/>
      <w:r w:rsidRPr="008C6F2A">
        <w:rPr>
          <w:color w:val="000000" w:themeColor="text1"/>
        </w:rPr>
        <w:t xml:space="preserve">1997. “Emergence of the Chief Risk Officer” </w:t>
      </w:r>
      <w:r w:rsidRPr="008C6F2A">
        <w:rPr>
          <w:i/>
          <w:color w:val="000000" w:themeColor="text1"/>
        </w:rPr>
        <w:t>Risk Management.</w:t>
      </w:r>
      <w:proofErr w:type="gramEnd"/>
      <w:r w:rsidRPr="008C6F2A">
        <w:rPr>
          <w:i/>
          <w:color w:val="000000" w:themeColor="text1"/>
        </w:rPr>
        <w:t xml:space="preserve"> </w:t>
      </w:r>
      <w:proofErr w:type="gramStart"/>
      <w:r w:rsidRPr="008C6F2A">
        <w:rPr>
          <w:color w:val="000000" w:themeColor="text1"/>
        </w:rPr>
        <w:t>44(9).</w:t>
      </w:r>
      <w:proofErr w:type="gramEnd"/>
    </w:p>
    <w:p w14:paraId="660F1FF9" w14:textId="77777777" w:rsidR="004624ED" w:rsidRDefault="004624ED" w:rsidP="004624ED">
      <w:pPr>
        <w:ind w:left="720" w:hanging="720"/>
        <w:contextualSpacing/>
        <w:rPr>
          <w:color w:val="000000" w:themeColor="text1"/>
        </w:rPr>
      </w:pPr>
      <w:r w:rsidRPr="008C6F2A">
        <w:rPr>
          <w:color w:val="000000" w:themeColor="text1"/>
        </w:rPr>
        <w:t xml:space="preserve">Lam, James C. 2003. </w:t>
      </w:r>
      <w:r w:rsidRPr="008C6F2A">
        <w:rPr>
          <w:i/>
          <w:color w:val="000000" w:themeColor="text1"/>
        </w:rPr>
        <w:t xml:space="preserve">Enterprise Risk Management: From Incentives to Controls. </w:t>
      </w:r>
      <w:r w:rsidRPr="008C6F2A">
        <w:rPr>
          <w:color w:val="000000" w:themeColor="text1"/>
        </w:rPr>
        <w:t>John Wiley and Sons: Hoboken, N.J.</w:t>
      </w:r>
    </w:p>
    <w:p w14:paraId="6D4A8EA4" w14:textId="77777777" w:rsidR="004624ED" w:rsidRPr="00644149" w:rsidRDefault="004624ED" w:rsidP="004624ED">
      <w:pPr>
        <w:tabs>
          <w:tab w:val="left" w:pos="2430"/>
        </w:tabs>
        <w:ind w:left="720" w:hanging="720"/>
        <w:contextualSpacing/>
        <w:rPr>
          <w:color w:val="000000" w:themeColor="text1"/>
        </w:rPr>
      </w:pPr>
      <w:r w:rsidRPr="00F720B2">
        <w:t>Lewis</w:t>
      </w:r>
      <w:r>
        <w:t xml:space="preserve">, Michael. 2010. </w:t>
      </w:r>
      <w:r>
        <w:rPr>
          <w:i/>
        </w:rPr>
        <w:t xml:space="preserve">The Big Short: Inside the Doomsday Machine. </w:t>
      </w:r>
      <w:r>
        <w:t xml:space="preserve">W.W. Norton and Company. </w:t>
      </w:r>
    </w:p>
    <w:p w14:paraId="604F0BBC" w14:textId="77777777" w:rsidR="004624ED" w:rsidRPr="008C6F2A" w:rsidRDefault="004624ED" w:rsidP="004624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color w:val="000000" w:themeColor="text1"/>
        </w:rPr>
      </w:pPr>
      <w:r w:rsidRPr="008C6F2A">
        <w:rPr>
          <w:rFonts w:eastAsia="Times New Roman"/>
          <w:color w:val="000000" w:themeColor="text1"/>
        </w:rPr>
        <w:lastRenderedPageBreak/>
        <w:t xml:space="preserve">Lazonick, William, and Mary O’Sullivan. 2000. “Maximizing Shareholder Value: A New </w:t>
      </w:r>
    </w:p>
    <w:p w14:paraId="53820356" w14:textId="77777777" w:rsidR="004624ED" w:rsidRPr="008C6F2A" w:rsidRDefault="004624ED" w:rsidP="004624ED">
      <w:pPr>
        <w:widowControl w:val="0"/>
        <w:autoSpaceDE w:val="0"/>
        <w:autoSpaceDN w:val="0"/>
        <w:adjustRightInd w:val="0"/>
        <w:rPr>
          <w:rFonts w:eastAsia="Times New Roman"/>
          <w:color w:val="000000" w:themeColor="text1"/>
        </w:rPr>
      </w:pPr>
      <w:r w:rsidRPr="008C6F2A">
        <w:rPr>
          <w:rFonts w:eastAsia="Times New Roman"/>
          <w:color w:val="000000" w:themeColor="text1"/>
        </w:rPr>
        <w:tab/>
        <w:t xml:space="preserve">Ideology for Corporate Governance.” </w:t>
      </w:r>
      <w:r w:rsidRPr="008C6F2A">
        <w:rPr>
          <w:rFonts w:eastAsia="Times New Roman"/>
          <w:i/>
          <w:color w:val="000000" w:themeColor="text1"/>
        </w:rPr>
        <w:t xml:space="preserve">Economy and Society </w:t>
      </w:r>
      <w:r w:rsidRPr="008C6F2A">
        <w:rPr>
          <w:rFonts w:eastAsia="Times New Roman"/>
          <w:color w:val="000000" w:themeColor="text1"/>
        </w:rPr>
        <w:t>29(1)</w:t>
      </w:r>
      <w:proofErr w:type="gramStart"/>
      <w:r w:rsidRPr="008C6F2A">
        <w:rPr>
          <w:rFonts w:eastAsia="Times New Roman"/>
          <w:color w:val="000000" w:themeColor="text1"/>
        </w:rPr>
        <w:t>:13</w:t>
      </w:r>
      <w:proofErr w:type="gramEnd"/>
      <w:r w:rsidRPr="008C6F2A">
        <w:rPr>
          <w:rFonts w:eastAsia="Times New Roman"/>
          <w:color w:val="000000" w:themeColor="text1"/>
        </w:rPr>
        <w:t xml:space="preserve">-35. </w:t>
      </w:r>
    </w:p>
    <w:p w14:paraId="3DC6E47E" w14:textId="77777777" w:rsidR="004624ED" w:rsidRDefault="004624ED" w:rsidP="004624ED">
      <w:pPr>
        <w:ind w:left="720" w:hanging="720"/>
        <w:contextualSpacing/>
        <w:rPr>
          <w:color w:val="000000" w:themeColor="text1"/>
        </w:rPr>
      </w:pPr>
      <w:proofErr w:type="gramStart"/>
      <w:r w:rsidRPr="008C6F2A">
        <w:rPr>
          <w:color w:val="000000" w:themeColor="text1"/>
        </w:rPr>
        <w:t>Liebenberg, Andre P. and Robert E. Hoyt.</w:t>
      </w:r>
      <w:proofErr w:type="gramEnd"/>
      <w:r w:rsidRPr="008C6F2A">
        <w:rPr>
          <w:color w:val="000000" w:themeColor="text1"/>
        </w:rPr>
        <w:t xml:space="preserve"> 2003. “The Determinants of Enterprise Risk</w:t>
      </w:r>
      <w:r w:rsidRPr="008C6F2A">
        <w:rPr>
          <w:bCs/>
          <w:color w:val="000000" w:themeColor="text1"/>
          <w:lang w:eastAsia="ja-JP"/>
        </w:rPr>
        <w:t xml:space="preserve"> </w:t>
      </w:r>
      <w:r w:rsidRPr="008C6F2A">
        <w:rPr>
          <w:color w:val="000000" w:themeColor="text1"/>
        </w:rPr>
        <w:t>Management: Evidence from the Appointment of Chief Risk Officers." </w:t>
      </w:r>
      <w:r w:rsidRPr="008C6F2A">
        <w:rPr>
          <w:i/>
          <w:iCs/>
          <w:color w:val="000000" w:themeColor="text1"/>
        </w:rPr>
        <w:t>Risk Management and Insurance Review</w:t>
      </w:r>
      <w:r w:rsidRPr="008C6F2A">
        <w:rPr>
          <w:color w:val="000000" w:themeColor="text1"/>
        </w:rPr>
        <w:t> 6(1): 37-52.</w:t>
      </w:r>
    </w:p>
    <w:p w14:paraId="12387EFB" w14:textId="77777777" w:rsidR="004624ED" w:rsidRPr="002C7BA3" w:rsidRDefault="004624ED" w:rsidP="004624ED">
      <w:pPr>
        <w:ind w:left="720" w:hanging="720"/>
        <w:contextualSpacing/>
        <w:rPr>
          <w:b/>
          <w:bCs/>
          <w:i/>
        </w:rPr>
      </w:pPr>
      <w:r>
        <w:t>Lutrell</w:t>
      </w:r>
      <w:r w:rsidRPr="00F720B2">
        <w:t>,</w:t>
      </w:r>
      <w:r>
        <w:t xml:space="preserve"> David, Tyler Atkinson</w:t>
      </w:r>
      <w:r w:rsidRPr="00F720B2">
        <w:t xml:space="preserve">, </w:t>
      </w:r>
      <w:r>
        <w:t xml:space="preserve">and Harvey </w:t>
      </w:r>
      <w:r w:rsidRPr="00F720B2">
        <w:t>Rosenblum</w:t>
      </w:r>
      <w:r>
        <w:t>. 2013. “</w:t>
      </w:r>
      <w:r w:rsidRPr="002C7BA3">
        <w:rPr>
          <w:bCs/>
        </w:rPr>
        <w:t>Assessing the Costs and Consequences of the 2007–09 Financial Crisis and Its Aftermath</w:t>
      </w:r>
      <w:r>
        <w:rPr>
          <w:bCs/>
        </w:rPr>
        <w:t xml:space="preserve">” </w:t>
      </w:r>
      <w:r>
        <w:rPr>
          <w:bCs/>
          <w:i/>
        </w:rPr>
        <w:t xml:space="preserve">The Federal Reserve Bank of Dallas Research Publications: Economic Letter </w:t>
      </w:r>
      <w:r>
        <w:rPr>
          <w:bCs/>
        </w:rPr>
        <w:t>8(7): 1-4.</w:t>
      </w:r>
      <w:r>
        <w:rPr>
          <w:bCs/>
          <w:i/>
        </w:rPr>
        <w:t xml:space="preserve"> </w:t>
      </w:r>
    </w:p>
    <w:p w14:paraId="1C6C286B" w14:textId="77777777" w:rsidR="004624ED" w:rsidRPr="008C6F2A" w:rsidRDefault="004624ED" w:rsidP="004624ED">
      <w:pPr>
        <w:ind w:left="720" w:hanging="720"/>
        <w:contextualSpacing/>
        <w:rPr>
          <w:bCs/>
          <w:color w:val="000000" w:themeColor="text1"/>
          <w:lang w:eastAsia="ja-JP"/>
        </w:rPr>
      </w:pPr>
      <w:r w:rsidRPr="008C6F2A">
        <w:rPr>
          <w:color w:val="000000" w:themeColor="text1"/>
        </w:rPr>
        <w:t xml:space="preserve">MacKenzie, Donald. 2011. “The Credit Crisis as a Problem in the Sociology of Knowledge.” </w:t>
      </w:r>
      <w:r w:rsidRPr="008C6F2A">
        <w:rPr>
          <w:i/>
          <w:color w:val="000000" w:themeColor="text1"/>
        </w:rPr>
        <w:t xml:space="preserve">American Journal of Sociology </w:t>
      </w:r>
      <w:r w:rsidRPr="008C6F2A">
        <w:rPr>
          <w:color w:val="000000" w:themeColor="text1"/>
        </w:rPr>
        <w:t>116(6): 1778-1841.</w:t>
      </w:r>
    </w:p>
    <w:p w14:paraId="7C57646A" w14:textId="77777777" w:rsidR="004624ED" w:rsidRPr="008C6F2A" w:rsidRDefault="004624ED" w:rsidP="004624ED">
      <w:pPr>
        <w:ind w:left="720" w:hanging="720"/>
        <w:contextualSpacing/>
        <w:rPr>
          <w:bCs/>
          <w:color w:val="000000" w:themeColor="text1"/>
          <w:lang w:eastAsia="ja-JP"/>
        </w:rPr>
      </w:pPr>
      <w:r w:rsidRPr="008C6F2A">
        <w:rPr>
          <w:rFonts w:ascii="Times" w:eastAsia="Times New Roman" w:hAnsi="Times"/>
          <w:color w:val="000000" w:themeColor="text1"/>
        </w:rPr>
        <w:t xml:space="preserve">McConnell, Patrick. </w:t>
      </w:r>
      <w:proofErr w:type="gramStart"/>
      <w:r w:rsidRPr="008C6F2A">
        <w:rPr>
          <w:rFonts w:ascii="Times" w:eastAsia="Times New Roman" w:hAnsi="Times"/>
          <w:color w:val="000000" w:themeColor="text1"/>
        </w:rPr>
        <w:t xml:space="preserve">2005. “Measuring Operational Risk Management Systems Under Basel II,” </w:t>
      </w:r>
      <w:r w:rsidRPr="008C6F2A">
        <w:rPr>
          <w:rFonts w:ascii="Times" w:eastAsia="Times New Roman" w:hAnsi="Times"/>
          <w:i/>
          <w:color w:val="000000" w:themeColor="text1"/>
        </w:rPr>
        <w:t>Continuity Central</w:t>
      </w:r>
      <w:r w:rsidRPr="008C6F2A">
        <w:rPr>
          <w:rFonts w:ascii="Times" w:eastAsia="Times New Roman" w:hAnsi="Times"/>
          <w:color w:val="000000" w:themeColor="text1"/>
        </w:rPr>
        <w:t>.</w:t>
      </w:r>
      <w:proofErr w:type="gramEnd"/>
      <w:r w:rsidRPr="008C6F2A">
        <w:rPr>
          <w:rFonts w:ascii="Times" w:eastAsia="Times New Roman" w:hAnsi="Times"/>
          <w:color w:val="000000" w:themeColor="text1"/>
        </w:rPr>
        <w:t xml:space="preserve"> April 20. &lt;</w:t>
      </w:r>
      <w:hyperlink r:id="rId13" w:history="1">
        <w:r w:rsidRPr="008C6F2A">
          <w:rPr>
            <w:rStyle w:val="Hyperlink"/>
            <w:rFonts w:ascii="Times" w:eastAsia="Times New Roman" w:hAnsi="Times"/>
            <w:color w:val="000000" w:themeColor="text1"/>
          </w:rPr>
          <w:t>http://www</w:t>
        </w:r>
      </w:hyperlink>
      <w:proofErr w:type="gramStart"/>
      <w:r w:rsidRPr="008C6F2A">
        <w:rPr>
          <w:rFonts w:ascii="Times" w:eastAsia="Times New Roman" w:hAnsi="Times"/>
          <w:color w:val="000000" w:themeColor="text1"/>
        </w:rPr>
        <w:t>.</w:t>
      </w:r>
      <w:r w:rsidRPr="00BC5D92">
        <w:rPr>
          <w:rFonts w:ascii="Times" w:eastAsia="Times New Roman" w:hAnsi="Times"/>
          <w:color w:val="000000" w:themeColor="text1"/>
          <w:u w:val="single"/>
        </w:rPr>
        <w:t>continuitycentral.com</w:t>
      </w:r>
      <w:proofErr w:type="gramEnd"/>
      <w:r w:rsidRPr="00BC5D92">
        <w:rPr>
          <w:rFonts w:ascii="Times" w:eastAsia="Times New Roman" w:hAnsi="Times"/>
          <w:color w:val="000000" w:themeColor="text1"/>
          <w:u w:val="single"/>
        </w:rPr>
        <w:t>/feature0197.htm</w:t>
      </w:r>
      <w:r w:rsidRPr="008C6F2A">
        <w:rPr>
          <w:color w:val="000000" w:themeColor="text1"/>
        </w:rPr>
        <w:t>&gt;.</w:t>
      </w:r>
    </w:p>
    <w:p w14:paraId="3FB424A7" w14:textId="77777777" w:rsidR="004624ED" w:rsidRPr="008C6F2A" w:rsidRDefault="004624ED" w:rsidP="004624ED">
      <w:pPr>
        <w:ind w:left="720" w:hanging="720"/>
        <w:contextualSpacing/>
        <w:rPr>
          <w:rFonts w:ascii="Times" w:eastAsia="Times New Roman" w:hAnsi="Times"/>
          <w:color w:val="000000" w:themeColor="text1"/>
        </w:rPr>
      </w:pPr>
      <w:r w:rsidRPr="008C6F2A">
        <w:rPr>
          <w:rFonts w:ascii="Times" w:eastAsia="Times New Roman" w:hAnsi="Times"/>
          <w:color w:val="000000" w:themeColor="text1"/>
        </w:rPr>
        <w:t xml:space="preserve">McConnell, Patrick. </w:t>
      </w:r>
      <w:proofErr w:type="gramStart"/>
      <w:r w:rsidRPr="008C6F2A">
        <w:rPr>
          <w:rFonts w:ascii="Times" w:eastAsia="Times New Roman" w:hAnsi="Times"/>
          <w:color w:val="000000" w:themeColor="text1"/>
        </w:rPr>
        <w:t>2007. “Operational Risk Management Under Basel II,”</w:t>
      </w:r>
      <w:r w:rsidRPr="008C6F2A">
        <w:rPr>
          <w:rFonts w:ascii="Times" w:eastAsia="Times New Roman" w:hAnsi="Times"/>
          <w:i/>
          <w:color w:val="000000" w:themeColor="text1"/>
        </w:rPr>
        <w:t xml:space="preserve"> FSA Times</w:t>
      </w:r>
      <w:r w:rsidRPr="008C6F2A">
        <w:rPr>
          <w:rFonts w:ascii="Times" w:eastAsia="Times New Roman" w:hAnsi="Times"/>
          <w:color w:val="000000" w:themeColor="text1"/>
        </w:rPr>
        <w:t>.</w:t>
      </w:r>
      <w:proofErr w:type="gramEnd"/>
      <w:r w:rsidRPr="008C6F2A">
        <w:rPr>
          <w:rFonts w:ascii="Times" w:eastAsia="Times New Roman" w:hAnsi="Times"/>
          <w:color w:val="000000" w:themeColor="text1"/>
        </w:rPr>
        <w:t xml:space="preserve"> 6(4): 1-4. &lt;</w:t>
      </w:r>
      <w:r w:rsidRPr="008C6F2A">
        <w:rPr>
          <w:color w:val="000000" w:themeColor="text1"/>
        </w:rPr>
        <w:t xml:space="preserve"> </w:t>
      </w:r>
      <w:hyperlink r:id="rId14" w:history="1">
        <w:r w:rsidRPr="008C6F2A">
          <w:rPr>
            <w:rStyle w:val="Hyperlink"/>
            <w:rFonts w:ascii="Times" w:eastAsia="Times New Roman" w:hAnsi="Times"/>
            <w:color w:val="000000" w:themeColor="text1"/>
          </w:rPr>
          <w:t>http://www.theiia.org/FSAarchive/index.cfm?iid=394</w:t>
        </w:r>
      </w:hyperlink>
      <w:r w:rsidRPr="008C6F2A">
        <w:rPr>
          <w:rFonts w:ascii="Times" w:eastAsia="Times New Roman" w:hAnsi="Times"/>
          <w:color w:val="000000" w:themeColor="text1"/>
        </w:rPr>
        <w:t>&gt;</w:t>
      </w:r>
    </w:p>
    <w:p w14:paraId="7CEEF51A" w14:textId="77777777" w:rsidR="004624ED" w:rsidRPr="008C6F2A" w:rsidRDefault="004624ED" w:rsidP="004624ED">
      <w:pPr>
        <w:ind w:left="720" w:hanging="720"/>
        <w:contextualSpacing/>
        <w:rPr>
          <w:color w:val="000000" w:themeColor="text1"/>
          <w:lang w:eastAsia="ja-JP"/>
        </w:rPr>
      </w:pPr>
      <w:r w:rsidRPr="008C6F2A">
        <w:rPr>
          <w:color w:val="000000" w:themeColor="text1"/>
          <w:lang w:eastAsia="ja-JP"/>
        </w:rPr>
        <w:t xml:space="preserve">Meyer, John W. and Brian Rowan. 1977. “Institutionalized Organizations: Formal Structure as Myth and Ceremony." </w:t>
      </w:r>
      <w:r w:rsidRPr="008C6F2A">
        <w:rPr>
          <w:i/>
          <w:iCs/>
          <w:color w:val="000000" w:themeColor="text1"/>
          <w:lang w:eastAsia="ja-JP"/>
        </w:rPr>
        <w:t>American Journal of Sociology</w:t>
      </w:r>
      <w:r w:rsidRPr="008C6F2A">
        <w:rPr>
          <w:color w:val="000000" w:themeColor="text1"/>
          <w:lang w:eastAsia="ja-JP"/>
        </w:rPr>
        <w:t xml:space="preserve"> 83:340-363. </w:t>
      </w:r>
    </w:p>
    <w:p w14:paraId="763DEFDC" w14:textId="77777777" w:rsidR="004624ED" w:rsidRDefault="004624ED" w:rsidP="004624ED">
      <w:pPr>
        <w:ind w:left="720" w:hanging="720"/>
        <w:contextualSpacing/>
        <w:rPr>
          <w:color w:val="000000" w:themeColor="text1"/>
          <w:lang w:eastAsia="ja-JP"/>
        </w:rPr>
      </w:pPr>
      <w:r w:rsidRPr="008C6F2A">
        <w:rPr>
          <w:color w:val="000000" w:themeColor="text1"/>
          <w:lang w:eastAsia="ja-JP"/>
        </w:rPr>
        <w:t xml:space="preserve">Millo, Yuval and Donald MacKenzie. 2009. “The Usefulness of Inaccurate Models: Towards an Understanding of the Emergence of Financial Risk Management.” </w:t>
      </w:r>
      <w:r w:rsidRPr="008C6F2A">
        <w:rPr>
          <w:i/>
          <w:iCs/>
          <w:color w:val="000000" w:themeColor="text1"/>
          <w:lang w:eastAsia="ja-JP"/>
        </w:rPr>
        <w:t>Accounting, Organizations and Society</w:t>
      </w:r>
      <w:r w:rsidRPr="008C6F2A">
        <w:rPr>
          <w:color w:val="000000" w:themeColor="text1"/>
          <w:lang w:eastAsia="ja-JP"/>
        </w:rPr>
        <w:t xml:space="preserve"> 34:638-653.</w:t>
      </w:r>
    </w:p>
    <w:p w14:paraId="4127D038" w14:textId="77777777" w:rsidR="004624ED" w:rsidRPr="008C6F2A" w:rsidRDefault="004624ED" w:rsidP="004624ED">
      <w:pPr>
        <w:ind w:left="720" w:hanging="720"/>
        <w:contextualSpacing/>
        <w:rPr>
          <w:bCs/>
          <w:color w:val="000000" w:themeColor="text1"/>
          <w:lang w:eastAsia="ja-JP"/>
        </w:rPr>
      </w:pPr>
      <w:r w:rsidRPr="008E6A58">
        <w:rPr>
          <w:rFonts w:hint="eastAsia"/>
          <w:bCs/>
          <w:color w:val="000000" w:themeColor="text1"/>
          <w:lang w:eastAsia="ja-JP"/>
        </w:rPr>
        <w:t>Minton, B.A., Stulz, R., Williamson, R., 2006. How much do banks use credit derivatives to reduce risk? Working Paper 2006-03-001, Fisher College of Business</w:t>
      </w:r>
    </w:p>
    <w:p w14:paraId="2F6BD394" w14:textId="77777777" w:rsidR="004624ED" w:rsidRDefault="004624ED" w:rsidP="004624ED">
      <w:pPr>
        <w:contextualSpacing/>
        <w:rPr>
          <w:i/>
          <w:noProof/>
          <w:color w:val="000000" w:themeColor="text1"/>
        </w:rPr>
      </w:pPr>
      <w:r>
        <w:rPr>
          <w:noProof/>
          <w:color w:val="000000" w:themeColor="text1"/>
        </w:rPr>
        <w:t xml:space="preserve">Moeller, Robert R. 2011. </w:t>
      </w:r>
      <w:r>
        <w:rPr>
          <w:i/>
          <w:noProof/>
          <w:color w:val="000000" w:themeColor="text1"/>
        </w:rPr>
        <w:t xml:space="preserve">COSO Enterprise Risk Management: Establishing Effective </w:t>
      </w:r>
    </w:p>
    <w:p w14:paraId="56A0A96F" w14:textId="77777777" w:rsidR="004624ED" w:rsidRPr="00FA6EFB" w:rsidRDefault="004624ED" w:rsidP="004624ED">
      <w:pPr>
        <w:ind w:firstLine="720"/>
        <w:contextualSpacing/>
      </w:pPr>
      <w:r>
        <w:rPr>
          <w:i/>
          <w:noProof/>
          <w:color w:val="000000" w:themeColor="text1"/>
        </w:rPr>
        <w:t xml:space="preserve">Governance, Risk, and Compliance Processes. </w:t>
      </w:r>
      <w:r>
        <w:rPr>
          <w:noProof/>
          <w:color w:val="000000" w:themeColor="text1"/>
        </w:rPr>
        <w:t>John Wiley and Sons Inc.</w:t>
      </w:r>
    </w:p>
    <w:p w14:paraId="6C90EAE7" w14:textId="77777777" w:rsidR="004624ED" w:rsidRDefault="004624ED" w:rsidP="004624ED">
      <w:pPr>
        <w:contextualSpacing/>
        <w:rPr>
          <w:i/>
        </w:rPr>
      </w:pPr>
      <w:r>
        <w:t xml:space="preserve">Moody, Michael J. 2003. “Derivatives: Do They Have a Place in ERM? </w:t>
      </w:r>
      <w:r>
        <w:rPr>
          <w:i/>
        </w:rPr>
        <w:t xml:space="preserve">Rough Notes </w:t>
      </w:r>
    </w:p>
    <w:p w14:paraId="0E90891F" w14:textId="77777777" w:rsidR="004624ED" w:rsidRPr="00966E26" w:rsidRDefault="004624ED" w:rsidP="004624ED">
      <w:pPr>
        <w:ind w:firstLine="720"/>
        <w:contextualSpacing/>
        <w:rPr>
          <w:noProof/>
          <w:color w:val="000000" w:themeColor="text1"/>
        </w:rPr>
      </w:pPr>
      <w:r>
        <w:rPr>
          <w:i/>
        </w:rPr>
        <w:t xml:space="preserve">Magazine </w:t>
      </w:r>
      <w:r>
        <w:t>&lt;</w:t>
      </w:r>
      <w:r w:rsidRPr="00966E26">
        <w:t>http://www.roughnotes.com/rnmagazine/2003/may03/05p102.htm</w:t>
      </w:r>
      <w:r>
        <w:t>&gt;</w:t>
      </w:r>
    </w:p>
    <w:p w14:paraId="59E91EA3" w14:textId="77777777" w:rsidR="004624ED" w:rsidRPr="008C6F2A" w:rsidRDefault="004624ED" w:rsidP="004624ED">
      <w:pPr>
        <w:ind w:left="720" w:hanging="720"/>
        <w:contextualSpacing/>
        <w:rPr>
          <w:bCs/>
          <w:color w:val="000000" w:themeColor="text1"/>
          <w:lang w:eastAsia="ja-JP"/>
        </w:rPr>
      </w:pPr>
      <w:r w:rsidRPr="008C6F2A">
        <w:rPr>
          <w:noProof/>
          <w:color w:val="000000" w:themeColor="text1"/>
        </w:rPr>
        <w:t xml:space="preserve">Murphy, Kevin J. 1986. “Top Executives are Worth Every Nickel They Get.” </w:t>
      </w:r>
      <w:r w:rsidRPr="008C6F2A">
        <w:rPr>
          <w:i/>
          <w:noProof/>
          <w:color w:val="000000" w:themeColor="text1"/>
        </w:rPr>
        <w:t>Harvard Law Review</w:t>
      </w:r>
      <w:r w:rsidRPr="008C6F2A">
        <w:rPr>
          <w:noProof/>
          <w:color w:val="000000" w:themeColor="text1"/>
        </w:rPr>
        <w:t xml:space="preserve"> 64(2):125-32.</w:t>
      </w:r>
    </w:p>
    <w:p w14:paraId="5F492BC7" w14:textId="77777777" w:rsidR="004624ED" w:rsidRDefault="004624ED" w:rsidP="004624ED">
      <w:pPr>
        <w:ind w:left="720" w:hanging="720"/>
        <w:contextualSpacing/>
        <w:rPr>
          <w:rFonts w:ascii="Times" w:eastAsia="Times New Roman" w:hAnsi="Times"/>
        </w:rPr>
      </w:pPr>
      <w:r w:rsidRPr="008C6F2A">
        <w:rPr>
          <w:rFonts w:ascii="Times" w:eastAsia="Times New Roman" w:hAnsi="Times"/>
          <w:color w:val="000000" w:themeColor="text1"/>
        </w:rPr>
        <w:t xml:space="preserve">Nocco, Brian W. and René M. Stulz. 2006. “Enterprise Risk Management: Theory and Practice” </w:t>
      </w:r>
      <w:r w:rsidRPr="008C6F2A">
        <w:rPr>
          <w:rFonts w:ascii="Times" w:eastAsia="Times New Roman" w:hAnsi="Times"/>
          <w:i/>
          <w:color w:val="000000" w:themeColor="text1"/>
        </w:rPr>
        <w:t>Journal of Applied Corporate Finance</w:t>
      </w:r>
      <w:r w:rsidRPr="008C6F2A">
        <w:rPr>
          <w:rFonts w:ascii="Times" w:eastAsia="Times New Roman" w:hAnsi="Times"/>
          <w:color w:val="000000" w:themeColor="text1"/>
        </w:rPr>
        <w:t xml:space="preserve"> 18(4):</w:t>
      </w:r>
      <w:r w:rsidRPr="008C6F2A">
        <w:rPr>
          <w:rFonts w:ascii="Times" w:eastAsia="Times New Roman" w:hAnsi="Times"/>
        </w:rPr>
        <w:t xml:space="preserve"> 8-20.</w:t>
      </w:r>
    </w:p>
    <w:p w14:paraId="152165F6" w14:textId="77777777" w:rsidR="004624ED" w:rsidRDefault="004624ED" w:rsidP="004624ED">
      <w:pPr>
        <w:ind w:left="720" w:hanging="720"/>
        <w:contextualSpacing/>
      </w:pPr>
      <w:r w:rsidRPr="009A4E24">
        <w:t>Nocera</w:t>
      </w:r>
      <w:r>
        <w:t>, Joe.</w:t>
      </w:r>
      <w:r w:rsidRPr="009A4E24">
        <w:t xml:space="preserve"> 2010</w:t>
      </w:r>
      <w:r>
        <w:t>.</w:t>
      </w:r>
    </w:p>
    <w:p w14:paraId="3D513ABA" w14:textId="77777777" w:rsidR="004624ED" w:rsidRPr="002D25A8" w:rsidRDefault="004624ED" w:rsidP="004624ED">
      <w:pPr>
        <w:ind w:left="720" w:hanging="720"/>
        <w:contextualSpacing/>
        <w:rPr>
          <w:rFonts w:ascii="Times" w:eastAsia="Times New Roman" w:hAnsi="Times"/>
        </w:rPr>
      </w:pPr>
      <w:r w:rsidRPr="004B7F5F">
        <w:t>Nocera</w:t>
      </w:r>
      <w:r>
        <w:t>, Joe</w:t>
      </w:r>
      <w:r w:rsidRPr="004B7F5F">
        <w:t xml:space="preserve"> and </w:t>
      </w:r>
      <w:r>
        <w:t xml:space="preserve">Bethany </w:t>
      </w:r>
      <w:r w:rsidRPr="004B7F5F">
        <w:t>McLean</w:t>
      </w:r>
      <w:r>
        <w:t>.</w:t>
      </w:r>
      <w:r w:rsidRPr="004B7F5F">
        <w:t xml:space="preserve"> 2011</w:t>
      </w:r>
      <w:r>
        <w:t xml:space="preserve">. </w:t>
      </w:r>
      <w:r>
        <w:rPr>
          <w:i/>
        </w:rPr>
        <w:t xml:space="preserve">All the Devils are Here: The Hidden History of the Financial Crisis. </w:t>
      </w:r>
      <w:proofErr w:type="gramStart"/>
      <w:r>
        <w:t>Penguin (USA).</w:t>
      </w:r>
      <w:proofErr w:type="gramEnd"/>
    </w:p>
    <w:p w14:paraId="7046B96D" w14:textId="77777777" w:rsidR="004624ED" w:rsidRPr="008C6F2A" w:rsidRDefault="004624ED" w:rsidP="004624ED">
      <w:pPr>
        <w:ind w:left="720" w:hanging="720"/>
        <w:contextualSpacing/>
        <w:rPr>
          <w:bCs/>
          <w:lang w:eastAsia="ja-JP"/>
        </w:rPr>
      </w:pPr>
      <w:r>
        <w:rPr>
          <w:rFonts w:ascii="Times" w:eastAsia="Times New Roman" w:hAnsi="Times"/>
        </w:rPr>
        <w:t xml:space="preserve">Norris, Floyd. 2001. “They Sold the Derivative, But They Didn’t Understand It” </w:t>
      </w:r>
      <w:r>
        <w:rPr>
          <w:rFonts w:ascii="Times" w:eastAsia="Times New Roman" w:hAnsi="Times"/>
          <w:i/>
        </w:rPr>
        <w:t xml:space="preserve">New York Times </w:t>
      </w:r>
      <w:r w:rsidRPr="00A54959">
        <w:t>http://www.nytimes.com/2001/07/20/business/20NORR.html</w:t>
      </w:r>
      <w:r w:rsidRPr="008C6F2A">
        <w:rPr>
          <w:rFonts w:ascii="Times" w:eastAsia="Times New Roman" w:hAnsi="Times"/>
        </w:rPr>
        <w:t xml:space="preserve"> </w:t>
      </w:r>
    </w:p>
    <w:p w14:paraId="64446BDA" w14:textId="77777777" w:rsidR="004624ED" w:rsidRDefault="004624ED" w:rsidP="004624ED">
      <w:pPr>
        <w:contextualSpacing/>
        <w:rPr>
          <w:noProof/>
        </w:rPr>
      </w:pPr>
      <w:r>
        <w:rPr>
          <w:noProof/>
        </w:rPr>
        <w:t>Papaioannou, Michael. 2006. “Exchange Rate Risk Measurement and Management:</w:t>
      </w:r>
    </w:p>
    <w:p w14:paraId="2FEA81B5" w14:textId="77777777" w:rsidR="004624ED" w:rsidRPr="00305747" w:rsidRDefault="004624ED" w:rsidP="004624ED">
      <w:pPr>
        <w:ind w:left="720"/>
        <w:contextualSpacing/>
        <w:rPr>
          <w:noProof/>
        </w:rPr>
      </w:pPr>
      <w:r>
        <w:rPr>
          <w:noProof/>
        </w:rPr>
        <w:t xml:space="preserve">Issues and Approaches for Firms” </w:t>
      </w:r>
      <w:r>
        <w:rPr>
          <w:i/>
          <w:noProof/>
        </w:rPr>
        <w:t xml:space="preserve">IMF Working Paper 06/255 </w:t>
      </w:r>
      <w:r>
        <w:rPr>
          <w:noProof/>
        </w:rPr>
        <w:t>&lt;</w:t>
      </w:r>
      <w:r w:rsidRPr="00BC5D92">
        <w:rPr>
          <w:noProof/>
          <w:u w:val="single"/>
        </w:rPr>
        <w:t>https://www.imf.org/external/pubs/ft/wp/2006/wp06255.pdf</w:t>
      </w:r>
      <w:r>
        <w:rPr>
          <w:noProof/>
        </w:rPr>
        <w:t>&gt;</w:t>
      </w:r>
    </w:p>
    <w:p w14:paraId="527ECBBA" w14:textId="77777777" w:rsidR="004624ED" w:rsidRPr="008C6F2A" w:rsidRDefault="004624ED" w:rsidP="004624ED">
      <w:pPr>
        <w:ind w:left="720" w:hanging="720"/>
        <w:contextualSpacing/>
        <w:rPr>
          <w:bCs/>
          <w:lang w:eastAsia="ja-JP"/>
        </w:rPr>
      </w:pPr>
      <w:r w:rsidRPr="008C6F2A">
        <w:rPr>
          <w:noProof/>
        </w:rPr>
        <w:t xml:space="preserve">Parrino, Robert, Richard W. Sias, and Laura T. Starks. 2003. “Voting with Their Feet: Institutional Ownership Changes around Forced CEO Turnover.” </w:t>
      </w:r>
      <w:r w:rsidRPr="008C6F2A">
        <w:rPr>
          <w:i/>
          <w:noProof/>
        </w:rPr>
        <w:t>Journal of Financial Economics</w:t>
      </w:r>
      <w:r w:rsidRPr="008C6F2A">
        <w:rPr>
          <w:noProof/>
        </w:rPr>
        <w:t xml:space="preserve"> 68(1):3-46.</w:t>
      </w:r>
    </w:p>
    <w:p w14:paraId="655A89A4" w14:textId="77777777" w:rsidR="004624ED" w:rsidRDefault="004624ED" w:rsidP="004624ED">
      <w:pPr>
        <w:ind w:left="720" w:hanging="720"/>
        <w:contextualSpacing/>
        <w:rPr>
          <w:bCs/>
          <w:lang w:eastAsia="ja-JP"/>
        </w:rPr>
      </w:pPr>
      <w:r w:rsidRPr="008C6F2A">
        <w:rPr>
          <w:noProof/>
        </w:rPr>
        <w:t xml:space="preserve">Partnoy, Frank and Jesse Eisinger. 2013. “What’s Inside America’s Banks?” </w:t>
      </w:r>
      <w:r w:rsidRPr="008C6F2A">
        <w:rPr>
          <w:i/>
          <w:noProof/>
        </w:rPr>
        <w:t>The Atlantic</w:t>
      </w:r>
      <w:r w:rsidRPr="008C6F2A">
        <w:rPr>
          <w:noProof/>
        </w:rPr>
        <w:t xml:space="preserve">. January 2. </w:t>
      </w:r>
      <w:r>
        <w:rPr>
          <w:noProof/>
        </w:rPr>
        <w:t>&lt;</w:t>
      </w:r>
      <w:r w:rsidRPr="00C873AA">
        <w:rPr>
          <w:noProof/>
        </w:rPr>
        <w:t>http://www.theatlantic.com/magazine/archive/2013/01 /whats-inside-americas-banks/309196</w:t>
      </w:r>
      <w:r>
        <w:rPr>
          <w:noProof/>
        </w:rPr>
        <w:t>&gt;</w:t>
      </w:r>
    </w:p>
    <w:p w14:paraId="5D5F4812" w14:textId="77777777" w:rsidR="004624ED" w:rsidRDefault="004624ED" w:rsidP="004624ED">
      <w:pPr>
        <w:rPr>
          <w:rFonts w:eastAsia="Times New Roman"/>
          <w:i/>
        </w:rPr>
      </w:pPr>
      <w:r>
        <w:rPr>
          <w:rFonts w:eastAsia="Times New Roman"/>
        </w:rPr>
        <w:t xml:space="preserve">Perrow, Charles. 1984. </w:t>
      </w:r>
      <w:r>
        <w:rPr>
          <w:rFonts w:eastAsia="Times New Roman"/>
          <w:i/>
        </w:rPr>
        <w:t xml:space="preserve">Normal Accidents: Living With High-Risk Technologies. </w:t>
      </w:r>
    </w:p>
    <w:p w14:paraId="2B5CBF2B" w14:textId="77777777" w:rsidR="004624ED" w:rsidRPr="00684126" w:rsidRDefault="004624ED" w:rsidP="004624ED">
      <w:pPr>
        <w:ind w:firstLine="720"/>
        <w:rPr>
          <w:rFonts w:eastAsia="Times New Roman"/>
          <w:i/>
        </w:rPr>
      </w:pPr>
      <w:proofErr w:type="gramStart"/>
      <w:r>
        <w:rPr>
          <w:rFonts w:eastAsia="Times New Roman"/>
        </w:rPr>
        <w:t>Princeton University Press.</w:t>
      </w:r>
      <w:proofErr w:type="gramEnd"/>
      <w:r>
        <w:rPr>
          <w:rFonts w:eastAsia="Times New Roman"/>
        </w:rPr>
        <w:t xml:space="preserve"> </w:t>
      </w:r>
      <w:r>
        <w:rPr>
          <w:rFonts w:eastAsia="Times New Roman"/>
          <w:i/>
        </w:rPr>
        <w:t xml:space="preserve"> </w:t>
      </w:r>
    </w:p>
    <w:p w14:paraId="201EAC4A" w14:textId="77777777" w:rsidR="004624ED" w:rsidRDefault="004624ED" w:rsidP="004624ED">
      <w:pPr>
        <w:rPr>
          <w:rFonts w:eastAsia="Times New Roman"/>
        </w:rPr>
      </w:pPr>
      <w:r w:rsidRPr="00B52419">
        <w:rPr>
          <w:rFonts w:eastAsia="Times New Roman"/>
        </w:rPr>
        <w:t xml:space="preserve">Perrow, Charles. 1986. </w:t>
      </w:r>
      <w:r w:rsidRPr="00B52419">
        <w:rPr>
          <w:rFonts w:eastAsia="Times New Roman"/>
          <w:i/>
          <w:iCs/>
        </w:rPr>
        <w:t>Complex Organizations: A Critical Essay</w:t>
      </w:r>
      <w:r w:rsidRPr="00B52419">
        <w:rPr>
          <w:rFonts w:eastAsia="Times New Roman"/>
        </w:rPr>
        <w:t xml:space="preserve">. Third. New York: </w:t>
      </w:r>
    </w:p>
    <w:p w14:paraId="53C45A4A" w14:textId="77777777" w:rsidR="004624ED" w:rsidRDefault="004624ED" w:rsidP="004624ED">
      <w:pPr>
        <w:ind w:firstLine="720"/>
        <w:rPr>
          <w:rFonts w:eastAsia="Times New Roman"/>
        </w:rPr>
      </w:pPr>
      <w:r w:rsidRPr="00B52419">
        <w:rPr>
          <w:rFonts w:eastAsia="Times New Roman"/>
        </w:rPr>
        <w:lastRenderedPageBreak/>
        <w:t>Random House.</w:t>
      </w:r>
    </w:p>
    <w:p w14:paraId="2EC8A6B2" w14:textId="77777777" w:rsidR="004624ED" w:rsidRDefault="004624ED" w:rsidP="004624ED">
      <w:pPr>
        <w:rPr>
          <w:rFonts w:eastAsia="Times New Roman"/>
        </w:rPr>
      </w:pPr>
      <w:proofErr w:type="gramStart"/>
      <w:r>
        <w:rPr>
          <w:rFonts w:eastAsia="Times New Roman"/>
        </w:rPr>
        <w:t>Pernell-Gallagher, Kim.</w:t>
      </w:r>
      <w:proofErr w:type="gramEnd"/>
      <w:r>
        <w:rPr>
          <w:rFonts w:eastAsia="Times New Roman"/>
        </w:rPr>
        <w:t xml:space="preserve"> 2015. “Learning from Performance: Banks, Collateralized Debt </w:t>
      </w:r>
    </w:p>
    <w:p w14:paraId="62AFBE06" w14:textId="77777777" w:rsidR="004624ED" w:rsidRPr="009459A9" w:rsidRDefault="004624ED" w:rsidP="004624ED">
      <w:pPr>
        <w:ind w:firstLine="720"/>
        <w:rPr>
          <w:rFonts w:eastAsia="Times New Roman"/>
        </w:rPr>
      </w:pPr>
      <w:proofErr w:type="gramStart"/>
      <w:r>
        <w:rPr>
          <w:rFonts w:eastAsia="Times New Roman"/>
        </w:rPr>
        <w:t xml:space="preserve">Obligations, and the Credit Crisis” </w:t>
      </w:r>
      <w:r>
        <w:rPr>
          <w:rFonts w:eastAsia="Times New Roman"/>
          <w:i/>
        </w:rPr>
        <w:t xml:space="preserve">Social Forces </w:t>
      </w:r>
      <w:r>
        <w:rPr>
          <w:rFonts w:eastAsia="Times New Roman"/>
        </w:rPr>
        <w:t>94(1): 31-59.</w:t>
      </w:r>
      <w:proofErr w:type="gramEnd"/>
      <w:r>
        <w:rPr>
          <w:rFonts w:eastAsia="Times New Roman"/>
        </w:rPr>
        <w:t xml:space="preserve"> </w:t>
      </w:r>
    </w:p>
    <w:p w14:paraId="0B19D156" w14:textId="77777777" w:rsidR="004624ED" w:rsidRPr="008C6F2A" w:rsidRDefault="004624ED" w:rsidP="004624ED">
      <w:pPr>
        <w:ind w:left="720" w:hanging="720"/>
        <w:contextualSpacing/>
      </w:pPr>
      <w:r w:rsidRPr="008C6F2A">
        <w:rPr>
          <w:noProof/>
        </w:rPr>
        <w:t xml:space="preserve">Pfeffer, Jeffrey and Gerald R. Salancik. 1978. </w:t>
      </w:r>
      <w:r w:rsidRPr="008C6F2A">
        <w:rPr>
          <w:i/>
          <w:noProof/>
        </w:rPr>
        <w:t>The External Control of Organizations: A Resource Dependence Perspective</w:t>
      </w:r>
      <w:r w:rsidRPr="008C6F2A">
        <w:rPr>
          <w:noProof/>
        </w:rPr>
        <w:t>. New York: Harper &amp; Row.</w:t>
      </w:r>
      <w:r w:rsidRPr="008C6F2A">
        <w:t xml:space="preserve"> </w:t>
      </w:r>
    </w:p>
    <w:p w14:paraId="78808BF5" w14:textId="77777777" w:rsidR="004624ED" w:rsidRPr="008C6F2A" w:rsidRDefault="004624ED" w:rsidP="004624ED">
      <w:pPr>
        <w:ind w:left="720" w:hanging="720"/>
        <w:contextualSpacing/>
        <w:rPr>
          <w:lang w:eastAsia="ja-JP"/>
        </w:rPr>
      </w:pPr>
      <w:proofErr w:type="gramStart"/>
      <w:r w:rsidRPr="008C6F2A">
        <w:rPr>
          <w:lang w:eastAsia="ja-JP"/>
        </w:rPr>
        <w:t>Power, Michael.</w:t>
      </w:r>
      <w:proofErr w:type="gramEnd"/>
      <w:r w:rsidRPr="008C6F2A">
        <w:rPr>
          <w:lang w:eastAsia="ja-JP"/>
        </w:rPr>
        <w:t xml:space="preserve"> 2005. “Organizational Responses to Risk: The Rise of the Chief Risk Officer.” </w:t>
      </w:r>
      <w:proofErr w:type="gramStart"/>
      <w:r w:rsidRPr="008C6F2A">
        <w:rPr>
          <w:lang w:eastAsia="ja-JP"/>
        </w:rPr>
        <w:t>Pp. 132-148 in</w:t>
      </w:r>
      <w:r w:rsidRPr="008C6F2A">
        <w:rPr>
          <w:i/>
          <w:iCs/>
          <w:lang w:eastAsia="ja-JP"/>
        </w:rPr>
        <w:t xml:space="preserve"> Organizational Encounters With Risk</w:t>
      </w:r>
      <w:r w:rsidRPr="008C6F2A">
        <w:rPr>
          <w:lang w:eastAsia="ja-JP"/>
        </w:rPr>
        <w:t>, edited by B. Hutter and M. Power.</w:t>
      </w:r>
      <w:proofErr w:type="gramEnd"/>
      <w:r w:rsidRPr="008C6F2A">
        <w:rPr>
          <w:lang w:eastAsia="ja-JP"/>
        </w:rPr>
        <w:t xml:space="preserve"> New York: Cambridge University Press.</w:t>
      </w:r>
    </w:p>
    <w:p w14:paraId="76862D49" w14:textId="77777777" w:rsidR="004624ED" w:rsidRDefault="004624ED" w:rsidP="004624ED">
      <w:pPr>
        <w:ind w:left="720" w:hanging="720"/>
        <w:contextualSpacing/>
        <w:rPr>
          <w:lang w:eastAsia="ja-JP"/>
        </w:rPr>
      </w:pPr>
      <w:proofErr w:type="gramStart"/>
      <w:r w:rsidRPr="008C6F2A">
        <w:rPr>
          <w:lang w:eastAsia="ja-JP"/>
        </w:rPr>
        <w:t>Proviti Independent Risk Consulting.</w:t>
      </w:r>
      <w:proofErr w:type="gramEnd"/>
      <w:r w:rsidRPr="008C6F2A">
        <w:rPr>
          <w:lang w:eastAsia="ja-JP"/>
        </w:rPr>
        <w:t xml:space="preserve"> 2007. “Enterprise Risk Management in Practice” </w:t>
      </w:r>
      <w:r w:rsidRPr="00BA5B74">
        <w:rPr>
          <w:lang w:eastAsia="ja-JP"/>
        </w:rPr>
        <w:t>http://www.ucop.edu/enterprise-risk-management/_files/protiviti_prctce.pdf</w:t>
      </w:r>
    </w:p>
    <w:p w14:paraId="14845052" w14:textId="77777777" w:rsidR="004624ED" w:rsidRPr="008C6F2A" w:rsidRDefault="004624ED" w:rsidP="004624ED">
      <w:pPr>
        <w:ind w:left="720" w:hanging="720"/>
        <w:contextualSpacing/>
      </w:pPr>
      <w:proofErr w:type="gramStart"/>
      <w:r w:rsidRPr="000E13B5">
        <w:rPr>
          <w:lang w:eastAsia="ja-JP"/>
        </w:rPr>
        <w:t>Risk and In</w:t>
      </w:r>
      <w:r>
        <w:rPr>
          <w:lang w:eastAsia="ja-JP"/>
        </w:rPr>
        <w:t>surance Management Society</w:t>
      </w:r>
      <w:r w:rsidRPr="000E13B5">
        <w:rPr>
          <w:lang w:eastAsia="ja-JP"/>
        </w:rPr>
        <w:t xml:space="preserve"> (RIMS).</w:t>
      </w:r>
      <w:proofErr w:type="gramEnd"/>
      <w:r w:rsidRPr="000E13B5">
        <w:rPr>
          <w:lang w:eastAsia="ja-JP"/>
        </w:rPr>
        <w:t xml:space="preserve"> 2012.</w:t>
      </w:r>
      <w:r>
        <w:rPr>
          <w:lang w:eastAsia="ja-JP"/>
        </w:rPr>
        <w:t xml:space="preserve"> “Risk Management and Internal Audit: Forging a Collaborative Alliance”</w:t>
      </w:r>
      <w:r w:rsidRPr="00BA5B74">
        <w:t xml:space="preserve"> </w:t>
      </w:r>
      <w:r w:rsidRPr="00BA5B74">
        <w:rPr>
          <w:i/>
          <w:iCs/>
        </w:rPr>
        <w:t>RIMS and The Institute of Internal Auditors Joint Report</w:t>
      </w:r>
    </w:p>
    <w:p w14:paraId="330A0493" w14:textId="77777777" w:rsidR="004624ED" w:rsidRPr="008C6F2A" w:rsidRDefault="004624ED" w:rsidP="004624ED">
      <w:pPr>
        <w:ind w:left="720" w:hanging="720"/>
        <w:contextualSpacing/>
        <w:rPr>
          <w:bCs/>
          <w:lang w:eastAsia="ja-JP"/>
        </w:rPr>
      </w:pPr>
      <w:proofErr w:type="gramStart"/>
      <w:r w:rsidRPr="008C6F2A">
        <w:t>Roe, Mark.</w:t>
      </w:r>
      <w:proofErr w:type="gramEnd"/>
      <w:r w:rsidRPr="008C6F2A">
        <w:t xml:space="preserve"> 1994. </w:t>
      </w:r>
      <w:r w:rsidRPr="008C6F2A">
        <w:rPr>
          <w:i/>
          <w:iCs/>
        </w:rPr>
        <w:t xml:space="preserve">Strong Managers, Weak Owners: The Political Roots of American Corporate Finance. </w:t>
      </w:r>
      <w:r w:rsidRPr="008C6F2A">
        <w:t>Princeton, NJ: Princeton University Press.</w:t>
      </w:r>
    </w:p>
    <w:p w14:paraId="225E4A61" w14:textId="77777777" w:rsidR="004624ED" w:rsidRPr="008C6F2A" w:rsidRDefault="004624ED" w:rsidP="004624ED">
      <w:pPr>
        <w:ind w:left="720" w:hanging="720"/>
        <w:contextualSpacing/>
      </w:pPr>
      <w:proofErr w:type="gramStart"/>
      <w:r w:rsidRPr="008C6F2A">
        <w:rPr>
          <w:lang w:eastAsia="ja-JP"/>
        </w:rPr>
        <w:t>Sanders, William Gerard and Donald C. Hambrick.</w:t>
      </w:r>
      <w:proofErr w:type="gramEnd"/>
      <w:r w:rsidRPr="008C6F2A">
        <w:rPr>
          <w:lang w:eastAsia="ja-JP"/>
        </w:rPr>
        <w:t xml:space="preserve"> 2007. “Swinging for the Fences: The Effects of CEO Stock Options on Company Risk Taking and Performance.” </w:t>
      </w:r>
      <w:r w:rsidRPr="008C6F2A">
        <w:rPr>
          <w:i/>
          <w:iCs/>
          <w:lang w:eastAsia="ja-JP"/>
        </w:rPr>
        <w:t>Academy of Management Journal</w:t>
      </w:r>
      <w:r w:rsidRPr="008C6F2A">
        <w:rPr>
          <w:lang w:eastAsia="ja-JP"/>
        </w:rPr>
        <w:t xml:space="preserve"> 50:1055-1078.</w:t>
      </w:r>
    </w:p>
    <w:p w14:paraId="16582FF3" w14:textId="77777777" w:rsidR="004624ED" w:rsidRPr="001B7551" w:rsidRDefault="004624ED" w:rsidP="004624ED">
      <w:proofErr w:type="gramStart"/>
      <w:r w:rsidRPr="008C6F2A">
        <w:t>S</w:t>
      </w:r>
      <w:r w:rsidRPr="001B7551">
        <w:t>arbanes-Oxley Act of 2002.</w:t>
      </w:r>
      <w:proofErr w:type="gramEnd"/>
      <w:r w:rsidRPr="001B7551">
        <w:t xml:space="preserve"> Pub.L. 107-204. </w:t>
      </w:r>
      <w:proofErr w:type="gramStart"/>
      <w:r w:rsidRPr="001B7551">
        <w:t>116 Stat 745.</w:t>
      </w:r>
      <w:proofErr w:type="gramEnd"/>
    </w:p>
    <w:p w14:paraId="50344668" w14:textId="77777777" w:rsidR="004624ED" w:rsidRPr="008264FD" w:rsidRDefault="004624ED" w:rsidP="004624ED">
      <w:pPr>
        <w:ind w:left="720" w:hanging="720"/>
        <w:contextualSpacing/>
        <w:rPr>
          <w:b/>
          <w:bCs/>
        </w:rPr>
      </w:pPr>
      <w:r w:rsidRPr="00DA356D">
        <w:t>Schularick</w:t>
      </w:r>
      <w:r>
        <w:t>, Moritz</w:t>
      </w:r>
      <w:r w:rsidRPr="00DA356D">
        <w:t xml:space="preserve"> and </w:t>
      </w:r>
      <w:r>
        <w:t xml:space="preserve">Alan M. </w:t>
      </w:r>
      <w:r w:rsidRPr="00DA356D">
        <w:t>Taylor</w:t>
      </w:r>
      <w:r>
        <w:t>.</w:t>
      </w:r>
      <w:r w:rsidRPr="00DA356D">
        <w:t xml:space="preserve"> 2012</w:t>
      </w:r>
      <w:r>
        <w:t>. “</w:t>
      </w:r>
      <w:r w:rsidRPr="00B77630">
        <w:rPr>
          <w:bCs/>
        </w:rPr>
        <w:t>Credit Booms Gone Bust: Monetary Policy, Leverage Cycles, and Financial Crises, 1870-2008</w:t>
      </w:r>
      <w:r>
        <w:rPr>
          <w:bCs/>
        </w:rPr>
        <w:t xml:space="preserve">” </w:t>
      </w:r>
      <w:r>
        <w:rPr>
          <w:bCs/>
          <w:i/>
        </w:rPr>
        <w:t xml:space="preserve">American Economic Review </w:t>
      </w:r>
      <w:r>
        <w:rPr>
          <w:bCs/>
        </w:rPr>
        <w:t>102(2): 1029-61.</w:t>
      </w:r>
    </w:p>
    <w:p w14:paraId="218281F9" w14:textId="77777777" w:rsidR="004624ED" w:rsidRDefault="004624ED" w:rsidP="004624ED">
      <w:pPr>
        <w:rPr>
          <w:bCs/>
        </w:rPr>
      </w:pPr>
      <w:proofErr w:type="gramStart"/>
      <w:r w:rsidRPr="000F402F">
        <w:t>Securities and Exchange Commission.</w:t>
      </w:r>
      <w:proofErr w:type="gramEnd"/>
      <w:r w:rsidRPr="000F402F">
        <w:t xml:space="preserve"> 2003. “Final Rule: </w:t>
      </w:r>
      <w:r w:rsidRPr="000F402F">
        <w:rPr>
          <w:bCs/>
        </w:rPr>
        <w:t xml:space="preserve">Management's Report on </w:t>
      </w:r>
    </w:p>
    <w:p w14:paraId="26C0F085" w14:textId="77777777" w:rsidR="004624ED" w:rsidRPr="000F402F" w:rsidRDefault="004624ED" w:rsidP="004624ED">
      <w:pPr>
        <w:ind w:left="720"/>
        <w:rPr>
          <w:b/>
          <w:bCs/>
        </w:rPr>
      </w:pPr>
      <w:r w:rsidRPr="000F402F">
        <w:rPr>
          <w:bCs/>
        </w:rPr>
        <w:t>Internal Control Over Financial Reporting and Certification of Disclosure in Exchange Act Periodic Reports</w:t>
      </w:r>
      <w:r>
        <w:rPr>
          <w:bCs/>
        </w:rPr>
        <w:t>” &lt;</w:t>
      </w:r>
      <w:r w:rsidRPr="000F402F">
        <w:rPr>
          <w:bCs/>
        </w:rPr>
        <w:t>https://www.sec.gov/rules/final/33-8238.htm</w:t>
      </w:r>
      <w:r>
        <w:rPr>
          <w:bCs/>
        </w:rPr>
        <w:t>&gt;</w:t>
      </w:r>
    </w:p>
    <w:p w14:paraId="52D7E798" w14:textId="77777777" w:rsidR="004624ED" w:rsidRDefault="004624ED" w:rsidP="004624ED">
      <w:pPr>
        <w:ind w:left="720" w:hanging="720"/>
        <w:contextualSpacing/>
        <w:rPr>
          <w:lang w:eastAsia="ja-JP"/>
        </w:rPr>
      </w:pPr>
      <w:r w:rsidRPr="008C6F2A">
        <w:rPr>
          <w:lang w:eastAsia="ja-JP"/>
        </w:rPr>
        <w:t>Selznick, Philip. 1948. “Foundations</w:t>
      </w:r>
      <w:r w:rsidRPr="008C6F2A">
        <w:rPr>
          <w:color w:val="000000" w:themeColor="text1"/>
          <w:lang w:eastAsia="ja-JP"/>
        </w:rPr>
        <w:t xml:space="preserve"> of the Theory of Organization.” </w:t>
      </w:r>
      <w:r w:rsidRPr="008C6F2A">
        <w:rPr>
          <w:i/>
          <w:iCs/>
          <w:color w:val="000000" w:themeColor="text1"/>
          <w:lang w:eastAsia="ja-JP"/>
        </w:rPr>
        <w:t xml:space="preserve">American </w:t>
      </w:r>
      <w:r w:rsidRPr="008C6F2A">
        <w:rPr>
          <w:i/>
          <w:iCs/>
          <w:lang w:eastAsia="ja-JP"/>
        </w:rPr>
        <w:t>Sociological Review</w:t>
      </w:r>
      <w:r w:rsidRPr="008C6F2A">
        <w:rPr>
          <w:lang w:eastAsia="ja-JP"/>
        </w:rPr>
        <w:t xml:space="preserve"> 13(1): 25-35.</w:t>
      </w:r>
    </w:p>
    <w:p w14:paraId="3FDCA4C9" w14:textId="77777777" w:rsidR="004624ED" w:rsidRDefault="004624ED" w:rsidP="004624ED">
      <w:pPr>
        <w:ind w:left="720" w:hanging="720"/>
        <w:contextualSpacing/>
        <w:rPr>
          <w:i/>
        </w:rPr>
      </w:pPr>
      <w:r w:rsidRPr="008C6F2A">
        <w:t xml:space="preserve">Smithson, Charles W. and Gregory Hayt. </w:t>
      </w:r>
      <w:proofErr w:type="gramStart"/>
      <w:r w:rsidRPr="008C6F2A">
        <w:t xml:space="preserve">2000. “Managing Credit Portfolios by Maximizing Risk-Adjusted Return” </w:t>
      </w:r>
      <w:r w:rsidRPr="008C6F2A">
        <w:rPr>
          <w:i/>
        </w:rPr>
        <w:t xml:space="preserve">RMA Journal </w:t>
      </w:r>
      <w:r w:rsidRPr="008C6F2A">
        <w:rPr>
          <w:rFonts w:eastAsia="Times New Roman"/>
          <w:color w:val="222222"/>
          <w:shd w:val="clear" w:color="auto" w:fill="FFFFFF"/>
        </w:rPr>
        <w:t>83(4): 44-47</w:t>
      </w:r>
      <w:r w:rsidRPr="008C6F2A">
        <w:rPr>
          <w:i/>
        </w:rPr>
        <w:t>.</w:t>
      </w:r>
      <w:proofErr w:type="gramEnd"/>
    </w:p>
    <w:p w14:paraId="0EAA8272" w14:textId="77777777" w:rsidR="004624ED" w:rsidRDefault="004624ED" w:rsidP="004624ED">
      <w:r w:rsidRPr="001B7551">
        <w:t xml:space="preserve">Sterngold, James. 2014. “After Crisis, Risk Officers Gain More Clout at Banks” The </w:t>
      </w:r>
    </w:p>
    <w:p w14:paraId="3E5B1792" w14:textId="77777777" w:rsidR="004624ED" w:rsidRDefault="004624ED" w:rsidP="004624ED">
      <w:pPr>
        <w:ind w:firstLine="720"/>
      </w:pPr>
      <w:proofErr w:type="gramStart"/>
      <w:r w:rsidRPr="001B7551">
        <w:t>Wall Street Journal.</w:t>
      </w:r>
      <w:proofErr w:type="gramEnd"/>
      <w:r w:rsidRPr="001B7551">
        <w:t xml:space="preserve"> June 25.</w:t>
      </w:r>
    </w:p>
    <w:p w14:paraId="47A412CE" w14:textId="77777777" w:rsidR="004624ED" w:rsidRDefault="004624ED" w:rsidP="004624ED">
      <w:pPr>
        <w:rPr>
          <w:i/>
        </w:rPr>
      </w:pPr>
      <w:r>
        <w:t>Stevenson, Richard W. 1995.</w:t>
      </w:r>
      <w:r w:rsidRPr="001B7551">
        <w:t xml:space="preserve"> </w:t>
      </w:r>
      <w:r>
        <w:t xml:space="preserve">“The Collapse of Barings: The Overview” </w:t>
      </w:r>
      <w:r>
        <w:rPr>
          <w:i/>
        </w:rPr>
        <w:t xml:space="preserve">The New York </w:t>
      </w:r>
    </w:p>
    <w:p w14:paraId="7C724FB6" w14:textId="77777777" w:rsidR="004624ED" w:rsidRPr="001B7551" w:rsidRDefault="004624ED" w:rsidP="004624ED">
      <w:pPr>
        <w:ind w:firstLine="720"/>
      </w:pPr>
      <w:r>
        <w:rPr>
          <w:i/>
        </w:rPr>
        <w:t xml:space="preserve">Times. </w:t>
      </w:r>
      <w:r>
        <w:t>February 28.</w:t>
      </w:r>
      <w:r>
        <w:rPr>
          <w:i/>
        </w:rPr>
        <w:t xml:space="preserve"> </w:t>
      </w:r>
      <w:r w:rsidRPr="001B7551">
        <w:t xml:space="preserve"> </w:t>
      </w:r>
    </w:p>
    <w:p w14:paraId="4868E204" w14:textId="77777777" w:rsidR="004624ED" w:rsidRDefault="004624ED" w:rsidP="004624ED">
      <w:proofErr w:type="gramStart"/>
      <w:r w:rsidRPr="001B7551">
        <w:t>Stiglitz, Joseph E. 2009</w:t>
      </w:r>
      <w:r>
        <w:t>a</w:t>
      </w:r>
      <w:r w:rsidRPr="001B7551">
        <w:t>.</w:t>
      </w:r>
      <w:proofErr w:type="gramEnd"/>
      <w:r w:rsidRPr="001B7551">
        <w:t xml:space="preserve"> “The Anatomy of a Murder: Who Killed America’s </w:t>
      </w:r>
    </w:p>
    <w:p w14:paraId="7AB398AE" w14:textId="77777777" w:rsidR="004624ED" w:rsidRDefault="004624ED" w:rsidP="004624ED">
      <w:pPr>
        <w:ind w:firstLine="720"/>
      </w:pPr>
      <w:r w:rsidRPr="001B7551">
        <w:t xml:space="preserve">Economy?” </w:t>
      </w:r>
      <w:r w:rsidRPr="00B05D49">
        <w:rPr>
          <w:i/>
        </w:rPr>
        <w:t>Critical Review: A Journal of Politics and Society</w:t>
      </w:r>
      <w:r w:rsidRPr="001B7551">
        <w:t xml:space="preserve"> 21(2-3): 329-339.</w:t>
      </w:r>
    </w:p>
    <w:p w14:paraId="56F53442" w14:textId="77777777" w:rsidR="004624ED" w:rsidRPr="00B05D49" w:rsidRDefault="004624ED" w:rsidP="004624ED">
      <w:pPr>
        <w:rPr>
          <w:i/>
        </w:rPr>
      </w:pPr>
      <w:proofErr w:type="gramStart"/>
      <w:r w:rsidRPr="001B7551">
        <w:t>Stiglitz, Joseph E. 2009</w:t>
      </w:r>
      <w:r>
        <w:t>b</w:t>
      </w:r>
      <w:r w:rsidRPr="001B7551">
        <w:t>.</w:t>
      </w:r>
      <w:proofErr w:type="gramEnd"/>
      <w:r>
        <w:t xml:space="preserve"> </w:t>
      </w:r>
      <w:proofErr w:type="gramStart"/>
      <w:r>
        <w:t xml:space="preserve">“Capitalist Fools” </w:t>
      </w:r>
      <w:r>
        <w:rPr>
          <w:i/>
        </w:rPr>
        <w:t>Vanity Fair.</w:t>
      </w:r>
      <w:proofErr w:type="gramEnd"/>
      <w:r>
        <w:rPr>
          <w:i/>
        </w:rPr>
        <w:t xml:space="preserve"> </w:t>
      </w:r>
      <w:r>
        <w:t xml:space="preserve">January. </w:t>
      </w:r>
      <w:r>
        <w:rPr>
          <w:i/>
        </w:rPr>
        <w:t xml:space="preserve"> </w:t>
      </w:r>
    </w:p>
    <w:p w14:paraId="17E2BB4B" w14:textId="77777777" w:rsidR="004624ED" w:rsidRPr="008264FD" w:rsidRDefault="004624ED" w:rsidP="004624ED">
      <w:pPr>
        <w:ind w:left="720" w:hanging="720"/>
        <w:contextualSpacing/>
      </w:pPr>
      <w:r w:rsidRPr="0018573F">
        <w:t xml:space="preserve">Stiroh, Kevin J. </w:t>
      </w:r>
      <w:r>
        <w:t>2004. "Diversification In B</w:t>
      </w:r>
      <w:r w:rsidRPr="0018573F">
        <w:t>anking: Is</w:t>
      </w:r>
      <w:r>
        <w:t xml:space="preserve"> Noninterest Income the Answer?</w:t>
      </w:r>
      <w:r w:rsidRPr="0018573F">
        <w:t>"</w:t>
      </w:r>
      <w:r>
        <w:t xml:space="preserve"> </w:t>
      </w:r>
      <w:r w:rsidRPr="0018573F">
        <w:rPr>
          <w:i/>
          <w:iCs/>
        </w:rPr>
        <w:t>Journal of Money, Credit and Banking</w:t>
      </w:r>
      <w:r w:rsidRPr="0018573F">
        <w:t>: 853-882.</w:t>
      </w:r>
    </w:p>
    <w:p w14:paraId="7037F4A0" w14:textId="77777777" w:rsidR="004624ED" w:rsidRDefault="004624ED" w:rsidP="004624ED">
      <w:pPr>
        <w:ind w:left="720" w:hanging="720"/>
        <w:contextualSpacing/>
      </w:pPr>
      <w:proofErr w:type="gramStart"/>
      <w:r w:rsidRPr="008C6F2A">
        <w:t>Stulz, Ren</w:t>
      </w:r>
      <w:r w:rsidRPr="008C6F2A">
        <w:rPr>
          <w:rFonts w:ascii="Times" w:eastAsia="Times New Roman" w:hAnsi="Times"/>
        </w:rPr>
        <w:t>é</w:t>
      </w:r>
      <w:r w:rsidRPr="008C6F2A">
        <w:t xml:space="preserve"> M. 2004.</w:t>
      </w:r>
      <w:proofErr w:type="gramEnd"/>
      <w:r w:rsidRPr="008C6F2A">
        <w:t xml:space="preserve"> “Should We Fear Derivatives?” </w:t>
      </w:r>
      <w:r w:rsidRPr="008C6F2A">
        <w:rPr>
          <w:i/>
        </w:rPr>
        <w:t xml:space="preserve">Journal of Economic Perspectives </w:t>
      </w:r>
      <w:r w:rsidRPr="008C6F2A">
        <w:t xml:space="preserve">18(3): 173-192. </w:t>
      </w:r>
    </w:p>
    <w:p w14:paraId="2DB089CC" w14:textId="77777777" w:rsidR="004624ED" w:rsidRDefault="004624ED" w:rsidP="004624ED">
      <w:pPr>
        <w:rPr>
          <w:rFonts w:eastAsia="Times New Roman"/>
        </w:rPr>
      </w:pPr>
      <w:r w:rsidRPr="000F402F">
        <w:rPr>
          <w:rFonts w:eastAsia="Times New Roman"/>
          <w:color w:val="000000"/>
        </w:rPr>
        <w:t>Sutton, John R. and Frank Dobbin. 1996. “</w:t>
      </w:r>
      <w:r w:rsidRPr="000F402F">
        <w:rPr>
          <w:rFonts w:eastAsia="Times New Roman"/>
        </w:rPr>
        <w:t xml:space="preserve">The Two Faces of Governance: Responses to </w:t>
      </w:r>
    </w:p>
    <w:p w14:paraId="68A331B2" w14:textId="77777777" w:rsidR="004624ED" w:rsidRPr="000F402F" w:rsidRDefault="004624ED" w:rsidP="004624ED">
      <w:pPr>
        <w:ind w:left="720"/>
        <w:rPr>
          <w:rFonts w:eastAsia="Times New Roman"/>
        </w:rPr>
      </w:pPr>
      <w:r w:rsidRPr="000F402F">
        <w:rPr>
          <w:rFonts w:eastAsia="Times New Roman"/>
        </w:rPr>
        <w:t xml:space="preserve">Legal Uncertainty in American Firms, 1955-1985.” </w:t>
      </w:r>
      <w:r w:rsidRPr="000F402F">
        <w:rPr>
          <w:rFonts w:eastAsia="Times New Roman"/>
          <w:i/>
        </w:rPr>
        <w:t>American Sociological Review</w:t>
      </w:r>
      <w:r w:rsidRPr="000F402F">
        <w:rPr>
          <w:rFonts w:eastAsia="Times New Roman"/>
        </w:rPr>
        <w:t xml:space="preserve"> 61: 794-811.</w:t>
      </w:r>
    </w:p>
    <w:p w14:paraId="57B66AA8" w14:textId="77777777" w:rsidR="004624ED" w:rsidRPr="008C6F2A" w:rsidRDefault="004624ED" w:rsidP="004624ED">
      <w:pPr>
        <w:ind w:left="720" w:hanging="720"/>
        <w:contextualSpacing/>
      </w:pPr>
      <w:r w:rsidRPr="008C6F2A">
        <w:rPr>
          <w:lang w:eastAsia="ja-JP"/>
        </w:rPr>
        <w:t xml:space="preserve">Tosi, Henry L., Jr. and Luis R. Gomez-Mejia. 1989. “The Decoupling of CEO Pay and Performance: An Agency Theory Perspective.” </w:t>
      </w:r>
      <w:r w:rsidRPr="008C6F2A">
        <w:rPr>
          <w:i/>
          <w:iCs/>
          <w:lang w:eastAsia="ja-JP"/>
        </w:rPr>
        <w:t>Administrative Science Quarterly</w:t>
      </w:r>
      <w:r w:rsidRPr="008C6F2A">
        <w:rPr>
          <w:lang w:eastAsia="ja-JP"/>
        </w:rPr>
        <w:t xml:space="preserve"> 34:169-189.</w:t>
      </w:r>
      <w:r w:rsidRPr="008C6F2A">
        <w:rPr>
          <w:rFonts w:ascii="Arial" w:hAnsi="Arial" w:cs="Arial"/>
          <w:lang w:eastAsia="ja-JP"/>
        </w:rPr>
        <w:t xml:space="preserve"> </w:t>
      </w:r>
    </w:p>
    <w:p w14:paraId="0C268594" w14:textId="77777777" w:rsidR="004624ED" w:rsidRPr="008C6F2A" w:rsidRDefault="004624ED" w:rsidP="004624ED">
      <w:pPr>
        <w:ind w:left="720" w:hanging="720"/>
        <w:contextualSpacing/>
      </w:pPr>
      <w:proofErr w:type="gramStart"/>
      <w:r w:rsidRPr="008C6F2A">
        <w:lastRenderedPageBreak/>
        <w:t>The Economist (no author listed).</w:t>
      </w:r>
      <w:proofErr w:type="gramEnd"/>
      <w:r w:rsidRPr="008C6F2A">
        <w:t xml:space="preserve"> 2005. “Risky Business.” </w:t>
      </w:r>
      <w:r w:rsidRPr="008C6F2A">
        <w:rPr>
          <w:i/>
        </w:rPr>
        <w:t xml:space="preserve">The Economist. </w:t>
      </w:r>
      <w:r w:rsidRPr="008C6F2A">
        <w:t xml:space="preserve">August 18. </w:t>
      </w:r>
      <w:r w:rsidRPr="008C6F2A">
        <w:rPr>
          <w:i/>
        </w:rPr>
        <w:t xml:space="preserve"> </w:t>
      </w:r>
      <w:r w:rsidRPr="008C6F2A">
        <w:t xml:space="preserve">  </w:t>
      </w:r>
    </w:p>
    <w:p w14:paraId="3CDF2A60" w14:textId="77777777" w:rsidR="004624ED" w:rsidRPr="008C6F2A" w:rsidRDefault="004624ED" w:rsidP="004624ED">
      <w:pPr>
        <w:ind w:left="720" w:hanging="720"/>
        <w:contextualSpacing/>
      </w:pPr>
      <w:proofErr w:type="gramStart"/>
      <w:r w:rsidRPr="008C6F2A">
        <w:t>The Economist (no author listed).</w:t>
      </w:r>
      <w:proofErr w:type="gramEnd"/>
      <w:r w:rsidRPr="008C6F2A">
        <w:t xml:space="preserve"> 2008. “The Great Untangling.” </w:t>
      </w:r>
      <w:r w:rsidRPr="008C6F2A">
        <w:rPr>
          <w:i/>
        </w:rPr>
        <w:t xml:space="preserve">The Economist. </w:t>
      </w:r>
      <w:r w:rsidRPr="008C6F2A">
        <w:t xml:space="preserve">November 6. </w:t>
      </w:r>
    </w:p>
    <w:p w14:paraId="586973C6" w14:textId="77777777" w:rsidR="004624ED" w:rsidRPr="008C6F2A" w:rsidRDefault="004624ED" w:rsidP="004624ED">
      <w:pPr>
        <w:ind w:left="720" w:hanging="720"/>
        <w:contextualSpacing/>
        <w:rPr>
          <w:lang w:eastAsia="ja-JP"/>
        </w:rPr>
      </w:pPr>
      <w:r w:rsidRPr="008C6F2A">
        <w:rPr>
          <w:lang w:eastAsia="ja-JP"/>
        </w:rPr>
        <w:t xml:space="preserve">Useem, Michael. 1996. </w:t>
      </w:r>
      <w:r w:rsidRPr="008C6F2A">
        <w:rPr>
          <w:i/>
          <w:iCs/>
          <w:lang w:eastAsia="ja-JP"/>
        </w:rPr>
        <w:t>Investor Capitalism: How Money Managers Are Changing the Face of Corporate America</w:t>
      </w:r>
      <w:r w:rsidRPr="008C6F2A">
        <w:rPr>
          <w:lang w:eastAsia="ja-JP"/>
        </w:rPr>
        <w:t>. New York: Basic.</w:t>
      </w:r>
    </w:p>
    <w:p w14:paraId="608B5708" w14:textId="77777777" w:rsidR="004624ED" w:rsidRDefault="004624ED" w:rsidP="004624ED">
      <w:pPr>
        <w:ind w:left="720" w:hanging="720"/>
        <w:contextualSpacing/>
        <w:rPr>
          <w:noProof/>
        </w:rPr>
      </w:pPr>
      <w:r w:rsidRPr="008C6F2A">
        <w:rPr>
          <w:noProof/>
        </w:rPr>
        <w:t xml:space="preserve">Westphal, James D. and Edward J. Zajac. 1998. “The Symbolic Management of Stockholders: Corporate Governance Reforms and Shareholder Reactions.” </w:t>
      </w:r>
      <w:r w:rsidRPr="008C6F2A">
        <w:rPr>
          <w:i/>
          <w:noProof/>
        </w:rPr>
        <w:t>Administrative Science Quarterly</w:t>
      </w:r>
      <w:r w:rsidRPr="008C6F2A">
        <w:rPr>
          <w:noProof/>
        </w:rPr>
        <w:t xml:space="preserve"> 43(1):127-53.</w:t>
      </w:r>
    </w:p>
    <w:p w14:paraId="1A50610D" w14:textId="5FB77EAA" w:rsidR="008726AE" w:rsidRPr="008C6F2A" w:rsidRDefault="008726AE" w:rsidP="004624ED">
      <w:pPr>
        <w:ind w:left="720" w:hanging="720"/>
        <w:contextualSpacing/>
        <w:rPr>
          <w:noProof/>
        </w:rPr>
      </w:pPr>
      <w:r>
        <w:rPr>
          <w:noProof/>
        </w:rPr>
        <w:t xml:space="preserve">Whaley, Robert E. 2006. </w:t>
      </w:r>
      <w:r>
        <w:rPr>
          <w:i/>
          <w:noProof/>
        </w:rPr>
        <w:t xml:space="preserve">Derivatives: </w:t>
      </w:r>
      <w:r w:rsidR="003A182B">
        <w:rPr>
          <w:i/>
          <w:noProof/>
        </w:rPr>
        <w:t xml:space="preserve">Markets, Valuation, and Risk Management. </w:t>
      </w:r>
      <w:r w:rsidR="004805D1">
        <w:rPr>
          <w:noProof/>
        </w:rPr>
        <w:t xml:space="preserve">Wiley. </w:t>
      </w:r>
      <w:r>
        <w:rPr>
          <w:noProof/>
        </w:rPr>
        <w:t xml:space="preserve"> </w:t>
      </w:r>
    </w:p>
    <w:p w14:paraId="5C96C185" w14:textId="77777777" w:rsidR="004624ED" w:rsidRPr="008C6F2A" w:rsidRDefault="004624ED" w:rsidP="004624ED">
      <w:pPr>
        <w:ind w:left="720" w:hanging="720"/>
        <w:contextualSpacing/>
        <w:rPr>
          <w:lang w:eastAsia="ja-JP"/>
        </w:rPr>
      </w:pPr>
      <w:r w:rsidRPr="008C6F2A">
        <w:rPr>
          <w:lang w:eastAsia="ja-JP"/>
        </w:rPr>
        <w:t xml:space="preserve">Wilson, Thomas C. 1998. “Portfolio Credit Risk.” </w:t>
      </w:r>
      <w:proofErr w:type="gramStart"/>
      <w:r w:rsidRPr="008C6F2A">
        <w:rPr>
          <w:i/>
          <w:lang w:eastAsia="ja-JP"/>
        </w:rPr>
        <w:t>FRBNY Economic Policy Review</w:t>
      </w:r>
      <w:r w:rsidRPr="008C6F2A">
        <w:rPr>
          <w:lang w:eastAsia="ja-JP"/>
        </w:rPr>
        <w:t>.</w:t>
      </w:r>
      <w:proofErr w:type="gramEnd"/>
      <w:r w:rsidRPr="008C6F2A">
        <w:rPr>
          <w:lang w:eastAsia="ja-JP"/>
        </w:rPr>
        <w:t xml:space="preserve"> http://newyorkfed.org/research/epr/98v04n3/9810wils.pdf</w:t>
      </w:r>
    </w:p>
    <w:p w14:paraId="1E8AEF93" w14:textId="77777777" w:rsidR="004624ED" w:rsidRPr="00276B22" w:rsidRDefault="004624ED" w:rsidP="004624ED">
      <w:pPr>
        <w:ind w:left="720" w:hanging="720"/>
        <w:contextualSpacing/>
        <w:rPr>
          <w:i/>
          <w:lang w:eastAsia="ja-JP"/>
        </w:rPr>
      </w:pPr>
      <w:r>
        <w:rPr>
          <w:lang w:eastAsia="ja-JP"/>
        </w:rPr>
        <w:t xml:space="preserve">Wood, Duncan. </w:t>
      </w:r>
      <w:proofErr w:type="gramStart"/>
      <w:r>
        <w:rPr>
          <w:lang w:eastAsia="ja-JP"/>
        </w:rPr>
        <w:t>2002. “From C</w:t>
      </w:r>
      <w:r w:rsidRPr="00276B22">
        <w:rPr>
          <w:lang w:eastAsia="ja-JP"/>
        </w:rPr>
        <w:t xml:space="preserve">op to CRO” </w:t>
      </w:r>
      <w:r w:rsidRPr="00276B22">
        <w:rPr>
          <w:i/>
          <w:lang w:eastAsia="ja-JP"/>
        </w:rPr>
        <w:t xml:space="preserve">Erisk.com </w:t>
      </w:r>
      <w:r w:rsidRPr="00276B22">
        <w:rPr>
          <w:lang w:eastAsia="ja-JP"/>
        </w:rPr>
        <w:t>(March)</w:t>
      </w:r>
      <w:r w:rsidRPr="00276B22">
        <w:rPr>
          <w:i/>
          <w:lang w:eastAsia="ja-JP"/>
        </w:rPr>
        <w:t>.</w:t>
      </w:r>
      <w:proofErr w:type="gramEnd"/>
    </w:p>
    <w:p w14:paraId="53158F3A" w14:textId="77777777" w:rsidR="004624ED" w:rsidRDefault="004624ED" w:rsidP="004624ED">
      <w:pPr>
        <w:rPr>
          <w:rFonts w:eastAsia="Times New Roman"/>
          <w:i/>
        </w:rPr>
      </w:pPr>
      <w:r w:rsidRPr="00276B22">
        <w:rPr>
          <w:lang w:val="en" w:eastAsia="ja-JP"/>
        </w:rPr>
        <w:t>Wooldridge, Jeffrey M. 2010.</w:t>
      </w:r>
      <w:r w:rsidRPr="00CE64A8">
        <w:rPr>
          <w:lang w:val="en" w:eastAsia="ja-JP"/>
        </w:rPr>
        <w:t xml:space="preserve"> </w:t>
      </w:r>
      <w:proofErr w:type="gramStart"/>
      <w:r w:rsidRPr="00CE64A8">
        <w:rPr>
          <w:rFonts w:eastAsia="Times New Roman"/>
          <w:i/>
        </w:rPr>
        <w:t>Econometric Analysis of Cross Section and Panel Data</w:t>
      </w:r>
      <w:r>
        <w:rPr>
          <w:rFonts w:eastAsia="Times New Roman"/>
          <w:i/>
        </w:rPr>
        <w:t>.</w:t>
      </w:r>
      <w:proofErr w:type="gramEnd"/>
      <w:r>
        <w:rPr>
          <w:rFonts w:eastAsia="Times New Roman"/>
          <w:i/>
        </w:rPr>
        <w:t xml:space="preserve"> </w:t>
      </w:r>
    </w:p>
    <w:p w14:paraId="7D248014" w14:textId="77777777" w:rsidR="004624ED" w:rsidRPr="00CE64A8" w:rsidRDefault="004624ED" w:rsidP="004624ED">
      <w:pPr>
        <w:ind w:firstLine="720"/>
        <w:rPr>
          <w:rFonts w:eastAsia="Times New Roman"/>
          <w:i/>
        </w:rPr>
      </w:pPr>
      <w:r>
        <w:rPr>
          <w:rFonts w:eastAsia="Times New Roman"/>
        </w:rPr>
        <w:t>Cambridge, MA: The MIT Press.</w:t>
      </w:r>
      <w:r w:rsidRPr="00CE64A8">
        <w:rPr>
          <w:rFonts w:eastAsia="Times New Roman"/>
          <w:i/>
        </w:rPr>
        <w:t xml:space="preserve"> </w:t>
      </w:r>
    </w:p>
    <w:p w14:paraId="7C528190" w14:textId="77777777" w:rsidR="004624ED" w:rsidRPr="008C6F2A" w:rsidRDefault="004624ED" w:rsidP="004624ED">
      <w:pPr>
        <w:ind w:left="720" w:hanging="720"/>
        <w:contextualSpacing/>
        <w:rPr>
          <w:rFonts w:ascii="Arial" w:hAnsi="Arial" w:cs="Arial"/>
          <w:lang w:eastAsia="ja-JP"/>
        </w:rPr>
      </w:pPr>
      <w:r w:rsidRPr="008C6F2A">
        <w:rPr>
          <w:noProof/>
        </w:rPr>
        <w:t xml:space="preserve">Zhang, Xiaomeng, Kathryn M. Bartol, Ken G. Smith, Michael D. Pfarrer, and Dmitry M. Khanin. 2008. “CEOs on the Edge: Earnings Manipulation and Stock-Based Incentive Misalignment.” </w:t>
      </w:r>
      <w:r w:rsidRPr="008C6F2A">
        <w:rPr>
          <w:i/>
          <w:noProof/>
        </w:rPr>
        <w:t>Academy of Management Journal</w:t>
      </w:r>
      <w:r w:rsidRPr="008C6F2A">
        <w:rPr>
          <w:noProof/>
        </w:rPr>
        <w:t xml:space="preserve"> 51(2):241-58.</w:t>
      </w:r>
      <w:r w:rsidRPr="008C6F2A">
        <w:rPr>
          <w:rFonts w:ascii="Arial" w:hAnsi="Arial" w:cs="Arial"/>
          <w:lang w:eastAsia="ja-JP"/>
        </w:rPr>
        <w:t xml:space="preserve"> </w:t>
      </w:r>
    </w:p>
    <w:p w14:paraId="04416CB9" w14:textId="77777777" w:rsidR="004624ED" w:rsidRDefault="004624ED" w:rsidP="004624ED">
      <w:pPr>
        <w:ind w:left="720" w:hanging="720"/>
        <w:contextualSpacing/>
        <w:rPr>
          <w:noProof/>
        </w:rPr>
      </w:pPr>
      <w:r w:rsidRPr="008C6F2A">
        <w:rPr>
          <w:lang w:eastAsia="ja-JP"/>
        </w:rPr>
        <w:t xml:space="preserve">Zorn, Dirk M. 2004. “Here a Chief, There a Chief: The Rise of the CFO in the American Firm.” </w:t>
      </w:r>
      <w:r w:rsidRPr="008C6F2A">
        <w:rPr>
          <w:i/>
          <w:iCs/>
          <w:lang w:eastAsia="ja-JP"/>
        </w:rPr>
        <w:t>American Sociological Review</w:t>
      </w:r>
      <w:r w:rsidRPr="008C6F2A">
        <w:rPr>
          <w:lang w:eastAsia="ja-JP"/>
        </w:rPr>
        <w:t xml:space="preserve"> 69:345-364.</w:t>
      </w:r>
    </w:p>
    <w:p w14:paraId="389BE300" w14:textId="77777777" w:rsidR="004624ED" w:rsidRDefault="004624ED" w:rsidP="004624ED">
      <w:pPr>
        <w:rPr>
          <w:b/>
        </w:rPr>
        <w:sectPr w:rsidR="004624ED" w:rsidSect="00BB5715">
          <w:endnotePr>
            <w:numFmt w:val="decimal"/>
          </w:endnotePr>
          <w:pgSz w:w="12240" w:h="15840"/>
          <w:pgMar w:top="1440" w:right="1440" w:bottom="1440" w:left="1440" w:header="720" w:footer="720" w:gutter="0"/>
          <w:cols w:space="720"/>
        </w:sectPr>
      </w:pPr>
    </w:p>
    <w:p w14:paraId="410D2D3E" w14:textId="4F6047D9" w:rsidR="004624ED" w:rsidRDefault="004624ED" w:rsidP="004624ED">
      <w:pPr>
        <w:rPr>
          <w:b/>
        </w:rPr>
      </w:pPr>
      <w:r>
        <w:rPr>
          <w:b/>
        </w:rPr>
        <w:lastRenderedPageBreak/>
        <w:t>TABLES</w:t>
      </w:r>
    </w:p>
    <w:p w14:paraId="2E175347" w14:textId="77777777" w:rsidR="00A54177" w:rsidRDefault="00A54177" w:rsidP="004624ED">
      <w:pPr>
        <w:rPr>
          <w:b/>
        </w:rPr>
      </w:pPr>
    </w:p>
    <w:p w14:paraId="6EB61FB9" w14:textId="52942FCC" w:rsidR="00E104CF" w:rsidRDefault="009C00DC" w:rsidP="004624ED">
      <w:pPr>
        <w:rPr>
          <w:b/>
        </w:rPr>
      </w:pPr>
      <w:r>
        <w:rPr>
          <w:b/>
          <w:noProof/>
        </w:rPr>
        <w:drawing>
          <wp:inline distT="0" distB="0" distL="0" distR="0" wp14:anchorId="6977CC4E" wp14:editId="0632B846">
            <wp:extent cx="5486400" cy="180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180975"/>
                    </a:xfrm>
                    <a:prstGeom prst="rect">
                      <a:avLst/>
                    </a:prstGeom>
                    <a:noFill/>
                    <a:ln>
                      <a:noFill/>
                    </a:ln>
                  </pic:spPr>
                </pic:pic>
              </a:graphicData>
            </a:graphic>
          </wp:inline>
        </w:drawing>
      </w:r>
    </w:p>
    <w:p w14:paraId="19FA7A28" w14:textId="16DF577F" w:rsidR="00F86166" w:rsidRDefault="00F86166" w:rsidP="004624ED">
      <w:pPr>
        <w:rPr>
          <w:b/>
        </w:rPr>
        <w:sectPr w:rsidR="00F86166" w:rsidSect="00BB5715">
          <w:endnotePr>
            <w:numFmt w:val="decimal"/>
          </w:endnotePr>
          <w:pgSz w:w="12240" w:h="15840"/>
          <w:pgMar w:top="1440" w:right="1440" w:bottom="1440" w:left="1440" w:header="720" w:footer="720" w:gutter="0"/>
          <w:cols w:space="720"/>
        </w:sectPr>
      </w:pPr>
      <w:r>
        <w:rPr>
          <w:b/>
          <w:noProof/>
        </w:rPr>
        <w:drawing>
          <wp:inline distT="0" distB="0" distL="0" distR="0" wp14:anchorId="0FBDB12B" wp14:editId="1033B350">
            <wp:extent cx="5885592" cy="4922874"/>
            <wp:effectExtent l="0" t="0" r="762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r="32556"/>
                    <a:stretch/>
                  </pic:blipFill>
                  <pic:spPr bwMode="auto">
                    <a:xfrm>
                      <a:off x="0" y="0"/>
                      <a:ext cx="5886873" cy="4923946"/>
                    </a:xfrm>
                    <a:prstGeom prst="rect">
                      <a:avLst/>
                    </a:prstGeom>
                    <a:noFill/>
                    <a:ln>
                      <a:noFill/>
                    </a:ln>
                    <a:extLst>
                      <a:ext uri="{53640926-AAD7-44d8-BBD7-CCE9431645EC}">
                        <a14:shadowObscured xmlns:a14="http://schemas.microsoft.com/office/drawing/2010/main"/>
                      </a:ext>
                    </a:extLst>
                  </pic:spPr>
                </pic:pic>
              </a:graphicData>
            </a:graphic>
          </wp:inline>
        </w:drawing>
      </w:r>
    </w:p>
    <w:p w14:paraId="776B2139" w14:textId="4274C59F" w:rsidR="00F334B3" w:rsidRDefault="000A2983" w:rsidP="004D3CB1">
      <w:pPr>
        <w:rPr>
          <w:b/>
        </w:rPr>
        <w:sectPr w:rsidR="00F334B3" w:rsidSect="00F334B3">
          <w:endnotePr>
            <w:numFmt w:val="decimal"/>
          </w:endnotePr>
          <w:pgSz w:w="12240" w:h="15840"/>
          <w:pgMar w:top="1440" w:right="1440" w:bottom="1440" w:left="1440" w:header="720" w:footer="720" w:gutter="0"/>
          <w:cols w:space="720"/>
        </w:sectPr>
      </w:pPr>
      <w:r>
        <w:rPr>
          <w:b/>
        </w:rPr>
        <w:lastRenderedPageBreak/>
        <w:fldChar w:fldCharType="begin"/>
      </w:r>
      <w:r>
        <w:rPr>
          <w:b/>
        </w:rPr>
        <w:instrText xml:space="preserve"> LINK </w:instrText>
      </w:r>
      <w:r w:rsidR="009A7B32">
        <w:rPr>
          <w:b/>
        </w:rPr>
        <w:instrText xml:space="preserve">Excel.Sheet.8 "Macintosh HD:Users:Kimberly:Downloads:August 2016 CRO paper tables&amp;figures.xlsx" "Table 2!R1C1:R47C5" </w:instrText>
      </w:r>
      <w:r>
        <w:rPr>
          <w:b/>
        </w:rPr>
        <w:instrText xml:space="preserve">\a \f 4 \h </w:instrText>
      </w:r>
      <w:r>
        <w:rPr>
          <w:b/>
        </w:rPr>
        <w:fldChar w:fldCharType="separate"/>
      </w:r>
      <w:r w:rsidR="00347093">
        <w:rPr>
          <w:b/>
        </w:rPr>
        <w:object w:dxaOrig="9360" w:dyaOrig="10415" w14:anchorId="4364A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20.75pt">
            <v:imagedata r:id="rId17" o:title=""/>
          </v:shape>
        </w:object>
      </w:r>
      <w:r>
        <w:rPr>
          <w:b/>
        </w:rPr>
        <w:fldChar w:fldCharType="end"/>
      </w:r>
    </w:p>
    <w:p w14:paraId="07A13104" w14:textId="77777777" w:rsidR="00F334B3" w:rsidRDefault="004D3CB1" w:rsidP="00D121D8">
      <w:pPr>
        <w:tabs>
          <w:tab w:val="left" w:pos="8460"/>
        </w:tabs>
        <w:rPr>
          <w:b/>
        </w:rPr>
        <w:sectPr w:rsidR="00F334B3" w:rsidSect="00355D85">
          <w:endnotePr>
            <w:numFmt w:val="decimal"/>
          </w:endnotePr>
          <w:pgSz w:w="15840" w:h="12240" w:orient="landscape"/>
          <w:pgMar w:top="1440" w:right="1440" w:bottom="1440" w:left="1440" w:header="720" w:footer="720" w:gutter="0"/>
          <w:cols w:space="720"/>
        </w:sectPr>
      </w:pPr>
      <w:r>
        <w:rPr>
          <w:b/>
          <w:noProof/>
        </w:rPr>
        <w:lastRenderedPageBreak/>
        <w:drawing>
          <wp:inline distT="0" distB="0" distL="0" distR="0" wp14:anchorId="1B1FA980" wp14:editId="4FE02866">
            <wp:extent cx="8229600" cy="6296395"/>
            <wp:effectExtent l="0" t="0" r="0" b="317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6296395"/>
                    </a:xfrm>
                    <a:prstGeom prst="rect">
                      <a:avLst/>
                    </a:prstGeom>
                    <a:noFill/>
                    <a:ln>
                      <a:noFill/>
                    </a:ln>
                  </pic:spPr>
                </pic:pic>
              </a:graphicData>
            </a:graphic>
          </wp:inline>
        </w:drawing>
      </w:r>
    </w:p>
    <w:p w14:paraId="69B2DC1F" w14:textId="38E6C1AF" w:rsidR="00F334B3" w:rsidRDefault="00F334B3" w:rsidP="00D121D8">
      <w:pPr>
        <w:tabs>
          <w:tab w:val="left" w:pos="8460"/>
        </w:tabs>
        <w:rPr>
          <w:b/>
        </w:rPr>
      </w:pPr>
    </w:p>
    <w:p w14:paraId="3DC0CE4C" w14:textId="7F4E2B8C" w:rsidR="004D3CB1" w:rsidRDefault="004D3CB1" w:rsidP="004624ED">
      <w:pPr>
        <w:rPr>
          <w:b/>
        </w:rPr>
      </w:pPr>
      <w:r>
        <w:rPr>
          <w:b/>
          <w:noProof/>
        </w:rPr>
        <w:drawing>
          <wp:inline distT="0" distB="0" distL="0" distR="0" wp14:anchorId="4DBAD98D" wp14:editId="18F8E22A">
            <wp:extent cx="5951528" cy="5944997"/>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9533" cy="5952994"/>
                    </a:xfrm>
                    <a:prstGeom prst="rect">
                      <a:avLst/>
                    </a:prstGeom>
                    <a:noFill/>
                    <a:ln>
                      <a:noFill/>
                    </a:ln>
                  </pic:spPr>
                </pic:pic>
              </a:graphicData>
            </a:graphic>
          </wp:inline>
        </w:drawing>
      </w:r>
    </w:p>
    <w:p w14:paraId="3EE48B66" w14:textId="77777777" w:rsidR="004D3CB1" w:rsidRDefault="004D3CB1" w:rsidP="004624ED">
      <w:pPr>
        <w:rPr>
          <w:b/>
        </w:rPr>
      </w:pPr>
    </w:p>
    <w:p w14:paraId="2C836350" w14:textId="5E10E7E6" w:rsidR="00C00117" w:rsidRDefault="00041693" w:rsidP="004624ED">
      <w:pPr>
        <w:rPr>
          <w:b/>
        </w:rPr>
        <w:sectPr w:rsidR="00C00117" w:rsidSect="00F334B3">
          <w:endnotePr>
            <w:numFmt w:val="decimal"/>
          </w:endnotePr>
          <w:pgSz w:w="12240" w:h="15840"/>
          <w:pgMar w:top="1440" w:right="1440" w:bottom="1440" w:left="1440" w:header="720" w:footer="720" w:gutter="0"/>
          <w:cols w:space="720"/>
        </w:sectPr>
      </w:pPr>
      <w:r>
        <w:rPr>
          <w:b/>
          <w:noProof/>
        </w:rPr>
        <w:lastRenderedPageBreak/>
        <w:drawing>
          <wp:inline distT="0" distB="0" distL="0" distR="0" wp14:anchorId="542D574A" wp14:editId="6CD2D264">
            <wp:extent cx="5943600" cy="2799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99460"/>
                    </a:xfrm>
                    <a:prstGeom prst="rect">
                      <a:avLst/>
                    </a:prstGeom>
                    <a:noFill/>
                    <a:ln>
                      <a:noFill/>
                    </a:ln>
                  </pic:spPr>
                </pic:pic>
              </a:graphicData>
            </a:graphic>
          </wp:inline>
        </w:drawing>
      </w:r>
    </w:p>
    <w:p w14:paraId="690C5FB9" w14:textId="4AF37191" w:rsidR="004D3CB1" w:rsidRDefault="00041693" w:rsidP="004624ED">
      <w:pPr>
        <w:rPr>
          <w:b/>
        </w:rPr>
      </w:pPr>
      <w:r>
        <w:rPr>
          <w:b/>
          <w:noProof/>
        </w:rPr>
        <w:lastRenderedPageBreak/>
        <w:drawing>
          <wp:inline distT="0" distB="0" distL="0" distR="0" wp14:anchorId="16160DCB" wp14:editId="6630BC9A">
            <wp:extent cx="5943600" cy="2799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99460"/>
                    </a:xfrm>
                    <a:prstGeom prst="rect">
                      <a:avLst/>
                    </a:prstGeom>
                    <a:noFill/>
                    <a:ln>
                      <a:noFill/>
                    </a:ln>
                  </pic:spPr>
                </pic:pic>
              </a:graphicData>
            </a:graphic>
          </wp:inline>
        </w:drawing>
      </w:r>
    </w:p>
    <w:p w14:paraId="68B3B403" w14:textId="77777777" w:rsidR="00C00117" w:rsidRDefault="00C00117" w:rsidP="004624ED">
      <w:pPr>
        <w:rPr>
          <w:b/>
        </w:rPr>
        <w:sectPr w:rsidR="00C00117" w:rsidSect="004D3CB1">
          <w:endnotePr>
            <w:numFmt w:val="decimal"/>
          </w:endnotePr>
          <w:pgSz w:w="12240" w:h="15840"/>
          <w:pgMar w:top="1440" w:right="1440" w:bottom="1440" w:left="1440" w:header="720" w:footer="720" w:gutter="0"/>
          <w:cols w:space="720"/>
        </w:sectPr>
      </w:pPr>
    </w:p>
    <w:p w14:paraId="67EFC4FE" w14:textId="0B76FD06" w:rsidR="00C00117" w:rsidRDefault="00041693" w:rsidP="004624ED">
      <w:pPr>
        <w:rPr>
          <w:b/>
        </w:rPr>
      </w:pPr>
      <w:r>
        <w:rPr>
          <w:b/>
          <w:noProof/>
        </w:rPr>
        <w:lastRenderedPageBreak/>
        <w:drawing>
          <wp:inline distT="0" distB="0" distL="0" distR="0" wp14:anchorId="6E6F8580" wp14:editId="6F9F23CF">
            <wp:extent cx="5943600" cy="279946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799460"/>
                    </a:xfrm>
                    <a:prstGeom prst="rect">
                      <a:avLst/>
                    </a:prstGeom>
                    <a:noFill/>
                    <a:ln>
                      <a:noFill/>
                    </a:ln>
                  </pic:spPr>
                </pic:pic>
              </a:graphicData>
            </a:graphic>
          </wp:inline>
        </w:drawing>
      </w:r>
    </w:p>
    <w:p w14:paraId="5938C1FA" w14:textId="77777777" w:rsidR="00C00117" w:rsidRDefault="00C00117" w:rsidP="004624ED">
      <w:pPr>
        <w:rPr>
          <w:b/>
        </w:rPr>
        <w:sectPr w:rsidR="00C00117" w:rsidSect="004D3CB1">
          <w:endnotePr>
            <w:numFmt w:val="decimal"/>
          </w:endnotePr>
          <w:pgSz w:w="12240" w:h="15840"/>
          <w:pgMar w:top="1440" w:right="1440" w:bottom="1440" w:left="1440" w:header="720" w:footer="720" w:gutter="0"/>
          <w:cols w:space="720"/>
        </w:sectPr>
      </w:pPr>
    </w:p>
    <w:p w14:paraId="59914D14" w14:textId="3646E7D6" w:rsidR="00C00117" w:rsidRDefault="00C00117" w:rsidP="004624ED">
      <w:pPr>
        <w:rPr>
          <w:b/>
        </w:rPr>
      </w:pPr>
    </w:p>
    <w:p w14:paraId="779447D5" w14:textId="7778831D" w:rsidR="004A234C" w:rsidRDefault="004A234C" w:rsidP="004624ED">
      <w:pPr>
        <w:rPr>
          <w:b/>
        </w:rPr>
      </w:pPr>
      <w:r>
        <w:rPr>
          <w:b/>
        </w:rPr>
        <w:t>FIGURES</w:t>
      </w:r>
    </w:p>
    <w:p w14:paraId="7F81ED74" w14:textId="77777777" w:rsidR="00CE0305" w:rsidRDefault="00CE0305" w:rsidP="004624ED">
      <w:pPr>
        <w:rPr>
          <w:b/>
        </w:rPr>
      </w:pPr>
    </w:p>
    <w:p w14:paraId="0E94A487" w14:textId="48B26964" w:rsidR="004A234C" w:rsidRDefault="00CE0305" w:rsidP="004624ED">
      <w:pPr>
        <w:rPr>
          <w:b/>
        </w:rPr>
      </w:pPr>
      <w:r>
        <w:rPr>
          <w:b/>
          <w:noProof/>
        </w:rPr>
        <w:drawing>
          <wp:inline distT="0" distB="0" distL="0" distR="0" wp14:anchorId="1D7CCC44" wp14:editId="542C75DC">
            <wp:extent cx="5486400" cy="180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80975"/>
                    </a:xfrm>
                    <a:prstGeom prst="rect">
                      <a:avLst/>
                    </a:prstGeom>
                    <a:noFill/>
                    <a:ln>
                      <a:noFill/>
                    </a:ln>
                  </pic:spPr>
                </pic:pic>
              </a:graphicData>
            </a:graphic>
          </wp:inline>
        </w:drawing>
      </w:r>
    </w:p>
    <w:p w14:paraId="654AF8F4" w14:textId="7342C0E8" w:rsidR="004A234C" w:rsidRDefault="004A234C" w:rsidP="004624ED">
      <w:pPr>
        <w:rPr>
          <w:b/>
        </w:rPr>
        <w:sectPr w:rsidR="004A234C" w:rsidSect="004D3CB1">
          <w:endnotePr>
            <w:numFmt w:val="decimal"/>
          </w:endnotePr>
          <w:pgSz w:w="12240" w:h="15840"/>
          <w:pgMar w:top="1440" w:right="1440" w:bottom="1440" w:left="1440" w:header="720" w:footer="720" w:gutter="0"/>
          <w:cols w:space="720"/>
        </w:sectPr>
      </w:pPr>
      <w:r>
        <w:rPr>
          <w:noProof/>
        </w:rPr>
        <w:drawing>
          <wp:inline distT="0" distB="0" distL="0" distR="0" wp14:anchorId="62EF8502" wp14:editId="4E117A1B">
            <wp:extent cx="5540721" cy="3446805"/>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7D2F7E" w14:textId="703F7D73" w:rsidR="00082AD5" w:rsidRDefault="00D739AC" w:rsidP="00E7560F">
      <w:pPr>
        <w:rPr>
          <w:b/>
        </w:rPr>
      </w:pPr>
      <w:r>
        <w:rPr>
          <w:b/>
          <w:noProof/>
        </w:rPr>
        <w:lastRenderedPageBreak/>
        <w:drawing>
          <wp:inline distT="0" distB="0" distL="0" distR="0" wp14:anchorId="069F9C71" wp14:editId="2B798712">
            <wp:extent cx="5486400" cy="180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180975"/>
                    </a:xfrm>
                    <a:prstGeom prst="rect">
                      <a:avLst/>
                    </a:prstGeom>
                    <a:noFill/>
                    <a:ln>
                      <a:noFill/>
                    </a:ln>
                  </pic:spPr>
                </pic:pic>
              </a:graphicData>
            </a:graphic>
          </wp:inline>
        </w:drawing>
      </w:r>
      <w:r w:rsidR="00082AD5" w:rsidRPr="00082AD5">
        <w:rPr>
          <w:noProof/>
        </w:rPr>
        <w:drawing>
          <wp:inline distT="0" distB="0" distL="0" distR="0" wp14:anchorId="03B3E067" wp14:editId="49180A99">
            <wp:extent cx="6102036" cy="4472412"/>
            <wp:effectExtent l="0" t="0" r="19685" b="234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32605D9" w14:textId="77777777" w:rsidR="00C27785" w:rsidRDefault="00C27785" w:rsidP="00E7560F">
      <w:pPr>
        <w:rPr>
          <w:b/>
        </w:rPr>
        <w:sectPr w:rsidR="00C27785" w:rsidSect="00BB5715">
          <w:pgSz w:w="12240" w:h="15840"/>
          <w:pgMar w:top="1440" w:right="1440" w:bottom="1440" w:left="1440" w:header="720" w:footer="720" w:gutter="0"/>
          <w:cols w:space="720"/>
        </w:sectPr>
      </w:pPr>
    </w:p>
    <w:p w14:paraId="0741ABAA" w14:textId="7D633CF2" w:rsidR="00C27785" w:rsidRDefault="00C27785" w:rsidP="00E7560F">
      <w:pPr>
        <w:rPr>
          <w:b/>
        </w:rPr>
      </w:pPr>
    </w:p>
    <w:p w14:paraId="06A49E19" w14:textId="41EAABD4" w:rsidR="00DF09D3" w:rsidRDefault="00F24028" w:rsidP="00E7560F">
      <w:pPr>
        <w:rPr>
          <w:b/>
        </w:rPr>
      </w:pPr>
      <w:r>
        <w:rPr>
          <w:b/>
        </w:rPr>
        <w:t>APPENDICIES</w:t>
      </w:r>
    </w:p>
    <w:p w14:paraId="6B3AE10D" w14:textId="392A7978" w:rsidR="00E104CF" w:rsidRDefault="00E104CF" w:rsidP="00E7560F">
      <w:pPr>
        <w:rPr>
          <w:b/>
        </w:rPr>
      </w:pPr>
    </w:p>
    <w:p w14:paraId="14097DD5" w14:textId="1A523F9F" w:rsidR="00B60031" w:rsidRDefault="00B60031" w:rsidP="00E7560F">
      <w:pPr>
        <w:rPr>
          <w:b/>
        </w:rPr>
        <w:sectPr w:rsidR="00B60031" w:rsidSect="00BB5715">
          <w:pgSz w:w="12240" w:h="15840"/>
          <w:pgMar w:top="1440" w:right="1440" w:bottom="1440" w:left="1440" w:header="720" w:footer="720" w:gutter="0"/>
          <w:cols w:space="720"/>
        </w:sectPr>
      </w:pPr>
      <w:r>
        <w:rPr>
          <w:b/>
          <w:noProof/>
        </w:rPr>
        <w:drawing>
          <wp:inline distT="0" distB="0" distL="0" distR="0" wp14:anchorId="2EEB0427" wp14:editId="24CBCE47">
            <wp:extent cx="5943600" cy="4283958"/>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283958"/>
                    </a:xfrm>
                    <a:prstGeom prst="rect">
                      <a:avLst/>
                    </a:prstGeom>
                    <a:noFill/>
                    <a:ln>
                      <a:noFill/>
                    </a:ln>
                  </pic:spPr>
                </pic:pic>
              </a:graphicData>
            </a:graphic>
          </wp:inline>
        </w:drawing>
      </w:r>
    </w:p>
    <w:p w14:paraId="4CD8ABA7" w14:textId="3C86A234" w:rsidR="00E104CF" w:rsidRDefault="00E104CF" w:rsidP="00D846AA">
      <w:pPr>
        <w:ind w:left="-360"/>
        <w:rPr>
          <w:b/>
        </w:rPr>
      </w:pPr>
    </w:p>
    <w:p w14:paraId="4D2978E3" w14:textId="467A58B7" w:rsidR="007E0642" w:rsidRPr="00B60031" w:rsidRDefault="00B60031" w:rsidP="00D846AA">
      <w:pPr>
        <w:ind w:left="-360"/>
        <w:rPr>
          <w:b/>
        </w:rPr>
      </w:pPr>
      <w:r>
        <w:rPr>
          <w:b/>
          <w:noProof/>
        </w:rPr>
        <w:drawing>
          <wp:inline distT="0" distB="0" distL="0" distR="0" wp14:anchorId="00A85CFF" wp14:editId="172212BF">
            <wp:extent cx="9228933" cy="3069125"/>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28933" cy="3069125"/>
                    </a:xfrm>
                    <a:prstGeom prst="rect">
                      <a:avLst/>
                    </a:prstGeom>
                    <a:noFill/>
                    <a:ln>
                      <a:noFill/>
                    </a:ln>
                  </pic:spPr>
                </pic:pic>
              </a:graphicData>
            </a:graphic>
          </wp:inline>
        </w:drawing>
      </w:r>
    </w:p>
    <w:p w14:paraId="0395CD9F" w14:textId="77777777" w:rsidR="00990C53" w:rsidRDefault="00990C53" w:rsidP="00D846AA">
      <w:pPr>
        <w:ind w:left="-360"/>
        <w:rPr>
          <w:sz w:val="20"/>
          <w:szCs w:val="20"/>
          <w:lang w:eastAsia="ja-JP"/>
        </w:rPr>
      </w:pPr>
    </w:p>
    <w:p w14:paraId="45DCE2A3" w14:textId="77777777" w:rsidR="00213942" w:rsidRDefault="00213942" w:rsidP="00D846AA">
      <w:pPr>
        <w:ind w:left="-360"/>
        <w:rPr>
          <w:sz w:val="20"/>
          <w:szCs w:val="20"/>
          <w:lang w:eastAsia="ja-JP"/>
        </w:rPr>
      </w:pPr>
    </w:p>
    <w:sectPr w:rsidR="00213942" w:rsidSect="00D846AA">
      <w:pgSz w:w="15840" w:h="12240" w:orient="landscape"/>
      <w:pgMar w:top="1440" w:right="1440" w:bottom="1440" w:left="1440" w:header="720" w:footer="720"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2D8B8F" w15:done="0"/>
  <w15:commentEx w15:paraId="40966CC2" w15:done="0"/>
  <w15:commentEx w15:paraId="19409070" w15:done="0"/>
  <w15:commentEx w15:paraId="1397CCA3" w15:done="0"/>
  <w15:commentEx w15:paraId="0579E008" w15:done="0"/>
  <w15:commentEx w15:paraId="7CF9C819" w15:done="0"/>
  <w15:commentEx w15:paraId="0C8191BD" w15:done="0"/>
  <w15:commentEx w15:paraId="20B21DF6" w15:done="0"/>
  <w15:commentEx w15:paraId="3122685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5C4EA" w14:textId="77777777" w:rsidR="008B4EE8" w:rsidRDefault="008B4EE8" w:rsidP="00416DED">
      <w:r>
        <w:separator/>
      </w:r>
    </w:p>
  </w:endnote>
  <w:endnote w:type="continuationSeparator" w:id="0">
    <w:p w14:paraId="45A85979" w14:textId="77777777" w:rsidR="008B4EE8" w:rsidRDefault="008B4EE8" w:rsidP="00416DED">
      <w:r>
        <w:continuationSeparator/>
      </w:r>
    </w:p>
  </w:endnote>
  <w:endnote w:id="1">
    <w:p w14:paraId="1132E847" w14:textId="77777777" w:rsidR="008B4EE8" w:rsidRDefault="008B4EE8" w:rsidP="002971DD">
      <w:pPr>
        <w:pStyle w:val="EndnoteText"/>
        <w:rPr>
          <w:b/>
        </w:rPr>
      </w:pPr>
      <w:r>
        <w:rPr>
          <w:b/>
        </w:rPr>
        <w:t>END</w:t>
      </w:r>
      <w:r w:rsidRPr="00A454D1">
        <w:rPr>
          <w:b/>
        </w:rPr>
        <w:t>NOTES</w:t>
      </w:r>
    </w:p>
    <w:p w14:paraId="6905B5AC" w14:textId="77777777" w:rsidR="008B4EE8" w:rsidRDefault="008B4EE8" w:rsidP="002971DD">
      <w:pPr>
        <w:pStyle w:val="EndnoteText"/>
      </w:pPr>
    </w:p>
    <w:p w14:paraId="1B176513" w14:textId="0F2C3FA9" w:rsidR="008B4EE8" w:rsidRDefault="008B4EE8" w:rsidP="002971DD">
      <w:pPr>
        <w:pStyle w:val="EndnoteText"/>
        <w:spacing w:line="480" w:lineRule="auto"/>
      </w:pPr>
      <w:r w:rsidRPr="008B4EE8">
        <w:rPr>
          <w:rStyle w:val="EndnoteReference"/>
        </w:rPr>
        <w:endnoteRef/>
      </w:r>
      <w:r w:rsidRPr="008B4EE8">
        <w:t xml:space="preserve"> </w:t>
      </w:r>
      <w:r w:rsidRPr="008B4EE8">
        <w:rPr>
          <w:rFonts w:eastAsia="Times New Roman"/>
        </w:rPr>
        <w:t xml:space="preserve">Forwards also trade over-the-counter. However, they generally have a simpler </w:t>
      </w:r>
      <w:r w:rsidR="00EF5C7D">
        <w:rPr>
          <w:rFonts w:eastAsia="Times New Roman"/>
        </w:rPr>
        <w:t xml:space="preserve">structure than new derivatives </w:t>
      </w:r>
      <w:r w:rsidRPr="008B4EE8">
        <w:rPr>
          <w:rFonts w:eastAsia="Times New Roman"/>
        </w:rPr>
        <w:t>(</w:t>
      </w:r>
      <w:r w:rsidRPr="008B4EE8">
        <w:t>Carmichael and Rosenfield 2003: 41).</w:t>
      </w:r>
      <w:r>
        <w:rPr>
          <w:rFonts w:eastAsia="Times New Roman"/>
        </w:rPr>
        <w:t xml:space="preserve">   </w:t>
      </w:r>
    </w:p>
  </w:endnote>
  <w:endnote w:id="2">
    <w:p w14:paraId="7A133B79" w14:textId="38A82AB3" w:rsidR="008B4EE8" w:rsidRDefault="008B4EE8" w:rsidP="00773A35">
      <w:pPr>
        <w:pStyle w:val="EndnoteText"/>
        <w:spacing w:line="480" w:lineRule="auto"/>
      </w:pPr>
      <w:r>
        <w:rPr>
          <w:rStyle w:val="EndnoteReference"/>
        </w:rPr>
        <w:endnoteRef/>
      </w:r>
      <w:r>
        <w:t xml:space="preserve"> Notional amount held is calculated as contract size (units per contract) multiplied by current unit price of reference asset. </w:t>
      </w:r>
    </w:p>
  </w:endnote>
  <w:endnote w:id="3">
    <w:p w14:paraId="0069BAB6" w14:textId="15DB8D47" w:rsidR="008B4EE8" w:rsidRDefault="008B4EE8" w:rsidP="00773A35">
      <w:pPr>
        <w:pStyle w:val="EndnoteText"/>
        <w:spacing w:line="480" w:lineRule="auto"/>
      </w:pPr>
      <w:r>
        <w:rPr>
          <w:rStyle w:val="EndnoteReference"/>
        </w:rPr>
        <w:endnoteRef/>
      </w:r>
      <w:r>
        <w:t xml:space="preserve"> In unreported analyses, we also control for a </w:t>
      </w:r>
      <w:r w:rsidRPr="00651976">
        <w:t xml:space="preserve">binary indicator </w:t>
      </w:r>
      <w:r>
        <w:t xml:space="preserve">of bank expansion into non-traditional banking activities, denoting </w:t>
      </w:r>
      <w:r w:rsidRPr="00651976">
        <w:t>creat</w:t>
      </w:r>
      <w:r>
        <w:t>ion of</w:t>
      </w:r>
      <w:r w:rsidRPr="00651976">
        <w:t xml:space="preserve"> a Section 20 subsidiary or reorganiz</w:t>
      </w:r>
      <w:r>
        <w:t>ation</w:t>
      </w:r>
      <w:r w:rsidRPr="00651976">
        <w:t xml:space="preserve"> as a </w:t>
      </w:r>
      <w:r>
        <w:t>financial holding company</w:t>
      </w:r>
      <w:r w:rsidRPr="00651976">
        <w:t xml:space="preserve"> (1=bank </w:t>
      </w:r>
      <w:r>
        <w:t xml:space="preserve">adopted </w:t>
      </w:r>
      <w:r w:rsidRPr="00651976">
        <w:t xml:space="preserve">structural change; 0 otherwise). </w:t>
      </w:r>
      <w:r>
        <w:t xml:space="preserve">The </w:t>
      </w:r>
      <w:r w:rsidRPr="00651976">
        <w:t>continuous measure outperforms the binary measure</w:t>
      </w:r>
      <w:r>
        <w:t xml:space="preserve"> in all models; thus </w:t>
      </w:r>
      <w:r w:rsidRPr="00651976">
        <w:t>we use the continuous measure in reported models</w:t>
      </w:r>
      <w:r>
        <w:t>.</w:t>
      </w:r>
    </w:p>
    <w:p w14:paraId="6898670A" w14:textId="77777777" w:rsidR="008B4EE8" w:rsidRDefault="008B4EE8" w:rsidP="00773A35">
      <w:pPr>
        <w:pStyle w:val="EndnoteText"/>
        <w:spacing w:line="480" w:lineRule="auto"/>
      </w:pPr>
    </w:p>
    <w:p w14:paraId="39B5D542" w14:textId="77777777" w:rsidR="008B4EE8" w:rsidRDefault="008B4EE8" w:rsidP="00773A35">
      <w:pPr>
        <w:pStyle w:val="EndnoteText"/>
        <w:spacing w:line="480" w:lineRule="auto"/>
      </w:pPr>
    </w:p>
    <w:p w14:paraId="0FC30AAA" w14:textId="77777777" w:rsidR="008B4EE8" w:rsidRPr="00477CE1" w:rsidRDefault="008B4EE8" w:rsidP="00BF55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Univers-CondensedLight">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5F297" w14:textId="77777777" w:rsidR="008B4EE8" w:rsidRDefault="008B4EE8" w:rsidP="003470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618847" w14:textId="77777777" w:rsidR="008B4EE8" w:rsidRDefault="008B4EE8" w:rsidP="001606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C5AB6" w14:textId="77777777" w:rsidR="008B4EE8" w:rsidRDefault="008B4EE8" w:rsidP="003470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7093">
      <w:rPr>
        <w:rStyle w:val="PageNumber"/>
        <w:noProof/>
      </w:rPr>
      <w:t>45</w:t>
    </w:r>
    <w:r>
      <w:rPr>
        <w:rStyle w:val="PageNumber"/>
      </w:rPr>
      <w:fldChar w:fldCharType="end"/>
    </w:r>
  </w:p>
  <w:p w14:paraId="58A2023A" w14:textId="77777777" w:rsidR="008B4EE8" w:rsidRDefault="008B4EE8" w:rsidP="001606D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1046D7" w14:textId="77777777" w:rsidR="008B4EE8" w:rsidRDefault="008B4EE8" w:rsidP="00416DED">
      <w:r>
        <w:separator/>
      </w:r>
    </w:p>
  </w:footnote>
  <w:footnote w:type="continuationSeparator" w:id="0">
    <w:p w14:paraId="10BB93DC" w14:textId="77777777" w:rsidR="008B4EE8" w:rsidRDefault="008B4EE8" w:rsidP="00416DE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9E1C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6A5546"/>
    <w:multiLevelType w:val="multilevel"/>
    <w:tmpl w:val="5F42F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8305E2"/>
    <w:multiLevelType w:val="hybridMultilevel"/>
    <w:tmpl w:val="2D4C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84A11"/>
    <w:multiLevelType w:val="multilevel"/>
    <w:tmpl w:val="5C1AE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09783C"/>
    <w:multiLevelType w:val="hybridMultilevel"/>
    <w:tmpl w:val="AFA4D4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F95842"/>
    <w:multiLevelType w:val="hybridMultilevel"/>
    <w:tmpl w:val="92CAD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B3CA8"/>
    <w:multiLevelType w:val="hybridMultilevel"/>
    <w:tmpl w:val="4C9C72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3647CE"/>
    <w:multiLevelType w:val="hybridMultilevel"/>
    <w:tmpl w:val="E910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ED4FB8"/>
    <w:multiLevelType w:val="hybridMultilevel"/>
    <w:tmpl w:val="17FEB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611760"/>
    <w:multiLevelType w:val="hybridMultilevel"/>
    <w:tmpl w:val="BBE283D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0">
    <w:nsid w:val="32040C78"/>
    <w:multiLevelType w:val="hybridMultilevel"/>
    <w:tmpl w:val="8850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AB18EA"/>
    <w:multiLevelType w:val="hybridMultilevel"/>
    <w:tmpl w:val="E1F05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F0559D2"/>
    <w:multiLevelType w:val="hybridMultilevel"/>
    <w:tmpl w:val="3A704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251BED"/>
    <w:multiLevelType w:val="hybridMultilevel"/>
    <w:tmpl w:val="0FFA30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9A91808"/>
    <w:multiLevelType w:val="hybridMultilevel"/>
    <w:tmpl w:val="5140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D73D43"/>
    <w:multiLevelType w:val="hybridMultilevel"/>
    <w:tmpl w:val="0A04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1306BF"/>
    <w:multiLevelType w:val="hybridMultilevel"/>
    <w:tmpl w:val="F310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11"/>
  </w:num>
  <w:num w:numId="5">
    <w:abstractNumId w:val="12"/>
  </w:num>
  <w:num w:numId="6">
    <w:abstractNumId w:val="13"/>
  </w:num>
  <w:num w:numId="7">
    <w:abstractNumId w:val="16"/>
  </w:num>
  <w:num w:numId="8">
    <w:abstractNumId w:val="6"/>
  </w:num>
  <w:num w:numId="9">
    <w:abstractNumId w:val="15"/>
  </w:num>
  <w:num w:numId="10">
    <w:abstractNumId w:val="9"/>
  </w:num>
  <w:num w:numId="11">
    <w:abstractNumId w:val="10"/>
  </w:num>
  <w:num w:numId="12">
    <w:abstractNumId w:val="5"/>
  </w:num>
  <w:num w:numId="13">
    <w:abstractNumId w:val="14"/>
  </w:num>
  <w:num w:numId="14">
    <w:abstractNumId w:val="1"/>
  </w:num>
  <w:num w:numId="15">
    <w:abstractNumId w:val="8"/>
  </w:num>
  <w:num w:numId="16">
    <w:abstractNumId w:val="0"/>
  </w:num>
  <w:num w:numId="1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wook Jung">
    <w15:presenceInfo w15:providerId="Windows Live" w15:userId="e4cba42281f89e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41D"/>
    <w:rsid w:val="00000015"/>
    <w:rsid w:val="00001CEF"/>
    <w:rsid w:val="00001D96"/>
    <w:rsid w:val="00002653"/>
    <w:rsid w:val="00002F71"/>
    <w:rsid w:val="00003349"/>
    <w:rsid w:val="00003607"/>
    <w:rsid w:val="00003B63"/>
    <w:rsid w:val="00003D88"/>
    <w:rsid w:val="0000402E"/>
    <w:rsid w:val="000045A8"/>
    <w:rsid w:val="0000472E"/>
    <w:rsid w:val="00004855"/>
    <w:rsid w:val="00004928"/>
    <w:rsid w:val="00004AFD"/>
    <w:rsid w:val="00004EF3"/>
    <w:rsid w:val="00005091"/>
    <w:rsid w:val="0000529A"/>
    <w:rsid w:val="0000636C"/>
    <w:rsid w:val="000068DD"/>
    <w:rsid w:val="00006D1B"/>
    <w:rsid w:val="00007032"/>
    <w:rsid w:val="00010A62"/>
    <w:rsid w:val="000119A8"/>
    <w:rsid w:val="00011B83"/>
    <w:rsid w:val="00011D40"/>
    <w:rsid w:val="00012147"/>
    <w:rsid w:val="00012297"/>
    <w:rsid w:val="000126C7"/>
    <w:rsid w:val="000127FB"/>
    <w:rsid w:val="00013AC7"/>
    <w:rsid w:val="00013CCD"/>
    <w:rsid w:val="000146B4"/>
    <w:rsid w:val="000149D1"/>
    <w:rsid w:val="00014F92"/>
    <w:rsid w:val="00015062"/>
    <w:rsid w:val="00015248"/>
    <w:rsid w:val="000153D0"/>
    <w:rsid w:val="00015425"/>
    <w:rsid w:val="00015771"/>
    <w:rsid w:val="000158FC"/>
    <w:rsid w:val="00015BA4"/>
    <w:rsid w:val="00016FF9"/>
    <w:rsid w:val="000173DE"/>
    <w:rsid w:val="00017D8B"/>
    <w:rsid w:val="00020205"/>
    <w:rsid w:val="00020722"/>
    <w:rsid w:val="00020B22"/>
    <w:rsid w:val="000218FF"/>
    <w:rsid w:val="00022372"/>
    <w:rsid w:val="000224F0"/>
    <w:rsid w:val="000230A3"/>
    <w:rsid w:val="00023649"/>
    <w:rsid w:val="00023802"/>
    <w:rsid w:val="00023AAF"/>
    <w:rsid w:val="00023E3B"/>
    <w:rsid w:val="000251EA"/>
    <w:rsid w:val="0002594B"/>
    <w:rsid w:val="00025D9A"/>
    <w:rsid w:val="00025E0C"/>
    <w:rsid w:val="0002621C"/>
    <w:rsid w:val="00026241"/>
    <w:rsid w:val="0002627C"/>
    <w:rsid w:val="00026615"/>
    <w:rsid w:val="00026898"/>
    <w:rsid w:val="000268ED"/>
    <w:rsid w:val="00026E76"/>
    <w:rsid w:val="00027099"/>
    <w:rsid w:val="0002732A"/>
    <w:rsid w:val="00027456"/>
    <w:rsid w:val="00027693"/>
    <w:rsid w:val="00030228"/>
    <w:rsid w:val="000302BE"/>
    <w:rsid w:val="0003084D"/>
    <w:rsid w:val="00031174"/>
    <w:rsid w:val="000313CE"/>
    <w:rsid w:val="0003197E"/>
    <w:rsid w:val="00032656"/>
    <w:rsid w:val="00032957"/>
    <w:rsid w:val="00032B3B"/>
    <w:rsid w:val="000332A6"/>
    <w:rsid w:val="00033446"/>
    <w:rsid w:val="00033453"/>
    <w:rsid w:val="00033F7B"/>
    <w:rsid w:val="000346FE"/>
    <w:rsid w:val="0003477D"/>
    <w:rsid w:val="0003579B"/>
    <w:rsid w:val="00035D12"/>
    <w:rsid w:val="00036143"/>
    <w:rsid w:val="00037050"/>
    <w:rsid w:val="000373D8"/>
    <w:rsid w:val="00037E3C"/>
    <w:rsid w:val="0004024B"/>
    <w:rsid w:val="0004078B"/>
    <w:rsid w:val="00040E99"/>
    <w:rsid w:val="00041135"/>
    <w:rsid w:val="00041365"/>
    <w:rsid w:val="00041693"/>
    <w:rsid w:val="000416CE"/>
    <w:rsid w:val="00041AC3"/>
    <w:rsid w:val="000420D5"/>
    <w:rsid w:val="000427AB"/>
    <w:rsid w:val="0004285C"/>
    <w:rsid w:val="000440BE"/>
    <w:rsid w:val="00044EC2"/>
    <w:rsid w:val="00045449"/>
    <w:rsid w:val="00045863"/>
    <w:rsid w:val="00045938"/>
    <w:rsid w:val="00045A3F"/>
    <w:rsid w:val="00045C6D"/>
    <w:rsid w:val="000464AC"/>
    <w:rsid w:val="00046757"/>
    <w:rsid w:val="00046B1D"/>
    <w:rsid w:val="00046E77"/>
    <w:rsid w:val="000471F5"/>
    <w:rsid w:val="0005000B"/>
    <w:rsid w:val="000500D1"/>
    <w:rsid w:val="000502E9"/>
    <w:rsid w:val="00050351"/>
    <w:rsid w:val="000503B0"/>
    <w:rsid w:val="000503FD"/>
    <w:rsid w:val="0005047C"/>
    <w:rsid w:val="00050504"/>
    <w:rsid w:val="00050C89"/>
    <w:rsid w:val="00050DE8"/>
    <w:rsid w:val="00050F25"/>
    <w:rsid w:val="00050F68"/>
    <w:rsid w:val="000510F6"/>
    <w:rsid w:val="00051151"/>
    <w:rsid w:val="00051339"/>
    <w:rsid w:val="00051392"/>
    <w:rsid w:val="00051971"/>
    <w:rsid w:val="000527BA"/>
    <w:rsid w:val="0005281C"/>
    <w:rsid w:val="00053035"/>
    <w:rsid w:val="000537D5"/>
    <w:rsid w:val="00053AA2"/>
    <w:rsid w:val="00053E47"/>
    <w:rsid w:val="0005434F"/>
    <w:rsid w:val="00054436"/>
    <w:rsid w:val="000545EB"/>
    <w:rsid w:val="00054883"/>
    <w:rsid w:val="00055939"/>
    <w:rsid w:val="00055DD0"/>
    <w:rsid w:val="000563C3"/>
    <w:rsid w:val="00056DDD"/>
    <w:rsid w:val="00057168"/>
    <w:rsid w:val="0005735C"/>
    <w:rsid w:val="0005738B"/>
    <w:rsid w:val="00057E2B"/>
    <w:rsid w:val="00060662"/>
    <w:rsid w:val="00060F18"/>
    <w:rsid w:val="00060FAF"/>
    <w:rsid w:val="00061324"/>
    <w:rsid w:val="00061B99"/>
    <w:rsid w:val="00062A59"/>
    <w:rsid w:val="00062FCE"/>
    <w:rsid w:val="00063629"/>
    <w:rsid w:val="00063C43"/>
    <w:rsid w:val="00063FA0"/>
    <w:rsid w:val="00064467"/>
    <w:rsid w:val="00064A71"/>
    <w:rsid w:val="00064CA6"/>
    <w:rsid w:val="00064DF6"/>
    <w:rsid w:val="00065014"/>
    <w:rsid w:val="000656AA"/>
    <w:rsid w:val="00065AEE"/>
    <w:rsid w:val="00066144"/>
    <w:rsid w:val="00067951"/>
    <w:rsid w:val="00067C18"/>
    <w:rsid w:val="00067FC1"/>
    <w:rsid w:val="000700AF"/>
    <w:rsid w:val="0007179D"/>
    <w:rsid w:val="000717F5"/>
    <w:rsid w:val="00071C36"/>
    <w:rsid w:val="00071D01"/>
    <w:rsid w:val="00072135"/>
    <w:rsid w:val="00072B55"/>
    <w:rsid w:val="0007302D"/>
    <w:rsid w:val="000730F6"/>
    <w:rsid w:val="000731CF"/>
    <w:rsid w:val="00073D3D"/>
    <w:rsid w:val="00073D81"/>
    <w:rsid w:val="00073E2A"/>
    <w:rsid w:val="00074146"/>
    <w:rsid w:val="00075295"/>
    <w:rsid w:val="000754E3"/>
    <w:rsid w:val="00075859"/>
    <w:rsid w:val="000759A0"/>
    <w:rsid w:val="00075B9E"/>
    <w:rsid w:val="0007614D"/>
    <w:rsid w:val="00076330"/>
    <w:rsid w:val="0007653A"/>
    <w:rsid w:val="00076938"/>
    <w:rsid w:val="00076E7B"/>
    <w:rsid w:val="00077000"/>
    <w:rsid w:val="00077137"/>
    <w:rsid w:val="00077192"/>
    <w:rsid w:val="00077B84"/>
    <w:rsid w:val="00077E22"/>
    <w:rsid w:val="00080253"/>
    <w:rsid w:val="00080D5F"/>
    <w:rsid w:val="000810AA"/>
    <w:rsid w:val="0008114C"/>
    <w:rsid w:val="00081B49"/>
    <w:rsid w:val="0008221D"/>
    <w:rsid w:val="00082AD5"/>
    <w:rsid w:val="00082B50"/>
    <w:rsid w:val="00082CDE"/>
    <w:rsid w:val="00082FF1"/>
    <w:rsid w:val="000831D0"/>
    <w:rsid w:val="000833C6"/>
    <w:rsid w:val="00083805"/>
    <w:rsid w:val="00083B7C"/>
    <w:rsid w:val="00083FB8"/>
    <w:rsid w:val="00084612"/>
    <w:rsid w:val="00084A15"/>
    <w:rsid w:val="0008579B"/>
    <w:rsid w:val="00085857"/>
    <w:rsid w:val="0008595C"/>
    <w:rsid w:val="00085A60"/>
    <w:rsid w:val="00086BE9"/>
    <w:rsid w:val="00086ED3"/>
    <w:rsid w:val="00087259"/>
    <w:rsid w:val="00087A20"/>
    <w:rsid w:val="00087FDE"/>
    <w:rsid w:val="00090542"/>
    <w:rsid w:val="00090BE6"/>
    <w:rsid w:val="00090C67"/>
    <w:rsid w:val="00090C85"/>
    <w:rsid w:val="0009114E"/>
    <w:rsid w:val="000922D7"/>
    <w:rsid w:val="000928C6"/>
    <w:rsid w:val="00092AE8"/>
    <w:rsid w:val="00092CE7"/>
    <w:rsid w:val="00092EA1"/>
    <w:rsid w:val="000934C3"/>
    <w:rsid w:val="0009390D"/>
    <w:rsid w:val="000939C8"/>
    <w:rsid w:val="0009450A"/>
    <w:rsid w:val="00094872"/>
    <w:rsid w:val="00094D2F"/>
    <w:rsid w:val="000959CF"/>
    <w:rsid w:val="000959F6"/>
    <w:rsid w:val="0009690E"/>
    <w:rsid w:val="00096D2E"/>
    <w:rsid w:val="00096E9D"/>
    <w:rsid w:val="00096F1E"/>
    <w:rsid w:val="00097193"/>
    <w:rsid w:val="00097422"/>
    <w:rsid w:val="00097C5A"/>
    <w:rsid w:val="000A03A8"/>
    <w:rsid w:val="000A0967"/>
    <w:rsid w:val="000A0BAF"/>
    <w:rsid w:val="000A0BEC"/>
    <w:rsid w:val="000A1BBA"/>
    <w:rsid w:val="000A21B5"/>
    <w:rsid w:val="000A2983"/>
    <w:rsid w:val="000A2D86"/>
    <w:rsid w:val="000A2E81"/>
    <w:rsid w:val="000A305B"/>
    <w:rsid w:val="000A381F"/>
    <w:rsid w:val="000A3BA0"/>
    <w:rsid w:val="000A3C28"/>
    <w:rsid w:val="000A3D7F"/>
    <w:rsid w:val="000A4C7E"/>
    <w:rsid w:val="000A5DDD"/>
    <w:rsid w:val="000A5EC6"/>
    <w:rsid w:val="000A60E5"/>
    <w:rsid w:val="000A674C"/>
    <w:rsid w:val="000A6F1A"/>
    <w:rsid w:val="000B0C6E"/>
    <w:rsid w:val="000B1001"/>
    <w:rsid w:val="000B10C4"/>
    <w:rsid w:val="000B119C"/>
    <w:rsid w:val="000B1440"/>
    <w:rsid w:val="000B20A4"/>
    <w:rsid w:val="000B26ED"/>
    <w:rsid w:val="000B294C"/>
    <w:rsid w:val="000B2C4E"/>
    <w:rsid w:val="000B345D"/>
    <w:rsid w:val="000B3EDC"/>
    <w:rsid w:val="000B47A7"/>
    <w:rsid w:val="000B4E20"/>
    <w:rsid w:val="000B5319"/>
    <w:rsid w:val="000B5554"/>
    <w:rsid w:val="000B57CA"/>
    <w:rsid w:val="000B6073"/>
    <w:rsid w:val="000B67AE"/>
    <w:rsid w:val="000B735B"/>
    <w:rsid w:val="000B739B"/>
    <w:rsid w:val="000C0679"/>
    <w:rsid w:val="000C0868"/>
    <w:rsid w:val="000C0C05"/>
    <w:rsid w:val="000C0E3E"/>
    <w:rsid w:val="000C0E4C"/>
    <w:rsid w:val="000C1240"/>
    <w:rsid w:val="000C13D7"/>
    <w:rsid w:val="000C3A33"/>
    <w:rsid w:val="000C3FC8"/>
    <w:rsid w:val="000C4262"/>
    <w:rsid w:val="000C4403"/>
    <w:rsid w:val="000C4F36"/>
    <w:rsid w:val="000C56FF"/>
    <w:rsid w:val="000C6A93"/>
    <w:rsid w:val="000C71E8"/>
    <w:rsid w:val="000C778F"/>
    <w:rsid w:val="000C7D5A"/>
    <w:rsid w:val="000D0481"/>
    <w:rsid w:val="000D0562"/>
    <w:rsid w:val="000D09E4"/>
    <w:rsid w:val="000D1403"/>
    <w:rsid w:val="000D149D"/>
    <w:rsid w:val="000D270D"/>
    <w:rsid w:val="000D2986"/>
    <w:rsid w:val="000D2FAF"/>
    <w:rsid w:val="000D3258"/>
    <w:rsid w:val="000D3509"/>
    <w:rsid w:val="000D3ACB"/>
    <w:rsid w:val="000D3DA0"/>
    <w:rsid w:val="000D4986"/>
    <w:rsid w:val="000D4C6C"/>
    <w:rsid w:val="000D6906"/>
    <w:rsid w:val="000D6A7D"/>
    <w:rsid w:val="000D6A87"/>
    <w:rsid w:val="000D72D4"/>
    <w:rsid w:val="000D7E67"/>
    <w:rsid w:val="000E01AA"/>
    <w:rsid w:val="000E0CBE"/>
    <w:rsid w:val="000E0D6F"/>
    <w:rsid w:val="000E1047"/>
    <w:rsid w:val="000E1723"/>
    <w:rsid w:val="000E22D9"/>
    <w:rsid w:val="000E22E4"/>
    <w:rsid w:val="000E247D"/>
    <w:rsid w:val="000E2AC0"/>
    <w:rsid w:val="000E33D9"/>
    <w:rsid w:val="000E3EAB"/>
    <w:rsid w:val="000E4A3F"/>
    <w:rsid w:val="000E6222"/>
    <w:rsid w:val="000E6C47"/>
    <w:rsid w:val="000E6E36"/>
    <w:rsid w:val="000E6F81"/>
    <w:rsid w:val="000E7429"/>
    <w:rsid w:val="000E7740"/>
    <w:rsid w:val="000E78FB"/>
    <w:rsid w:val="000E799E"/>
    <w:rsid w:val="000F1046"/>
    <w:rsid w:val="000F1E26"/>
    <w:rsid w:val="000F23AA"/>
    <w:rsid w:val="000F25A3"/>
    <w:rsid w:val="000F27C4"/>
    <w:rsid w:val="000F2BE0"/>
    <w:rsid w:val="000F30B6"/>
    <w:rsid w:val="000F32A6"/>
    <w:rsid w:val="000F4475"/>
    <w:rsid w:val="000F4FF1"/>
    <w:rsid w:val="000F5F68"/>
    <w:rsid w:val="000F6B06"/>
    <w:rsid w:val="000F6C22"/>
    <w:rsid w:val="00100B2F"/>
    <w:rsid w:val="00101169"/>
    <w:rsid w:val="0010145E"/>
    <w:rsid w:val="001018E0"/>
    <w:rsid w:val="0010245D"/>
    <w:rsid w:val="001025BE"/>
    <w:rsid w:val="00102651"/>
    <w:rsid w:val="0010265D"/>
    <w:rsid w:val="001026DC"/>
    <w:rsid w:val="001027BC"/>
    <w:rsid w:val="00102B79"/>
    <w:rsid w:val="00102F5C"/>
    <w:rsid w:val="00103130"/>
    <w:rsid w:val="00103165"/>
    <w:rsid w:val="00103921"/>
    <w:rsid w:val="00103DAF"/>
    <w:rsid w:val="00107345"/>
    <w:rsid w:val="0010751F"/>
    <w:rsid w:val="00107677"/>
    <w:rsid w:val="00107923"/>
    <w:rsid w:val="00107E7F"/>
    <w:rsid w:val="001100BC"/>
    <w:rsid w:val="001111DF"/>
    <w:rsid w:val="00111329"/>
    <w:rsid w:val="00112245"/>
    <w:rsid w:val="00112261"/>
    <w:rsid w:val="00112292"/>
    <w:rsid w:val="00113151"/>
    <w:rsid w:val="001134F7"/>
    <w:rsid w:val="00113889"/>
    <w:rsid w:val="001144AE"/>
    <w:rsid w:val="001146C8"/>
    <w:rsid w:val="00114E1F"/>
    <w:rsid w:val="001152C2"/>
    <w:rsid w:val="00116944"/>
    <w:rsid w:val="00117142"/>
    <w:rsid w:val="00117DF7"/>
    <w:rsid w:val="00120320"/>
    <w:rsid w:val="00120C2A"/>
    <w:rsid w:val="00120D97"/>
    <w:rsid w:val="00120E41"/>
    <w:rsid w:val="00120F05"/>
    <w:rsid w:val="00121236"/>
    <w:rsid w:val="00121407"/>
    <w:rsid w:val="0012151C"/>
    <w:rsid w:val="001216B5"/>
    <w:rsid w:val="00121AE9"/>
    <w:rsid w:val="00121DCF"/>
    <w:rsid w:val="00122219"/>
    <w:rsid w:val="00122771"/>
    <w:rsid w:val="00122CD9"/>
    <w:rsid w:val="001231F8"/>
    <w:rsid w:val="00123D8A"/>
    <w:rsid w:val="0012402F"/>
    <w:rsid w:val="00125277"/>
    <w:rsid w:val="00125DD9"/>
    <w:rsid w:val="00126024"/>
    <w:rsid w:val="0012646B"/>
    <w:rsid w:val="00126BBB"/>
    <w:rsid w:val="00126BCB"/>
    <w:rsid w:val="00126C0C"/>
    <w:rsid w:val="00126F96"/>
    <w:rsid w:val="00127501"/>
    <w:rsid w:val="001304A0"/>
    <w:rsid w:val="00131066"/>
    <w:rsid w:val="001317D7"/>
    <w:rsid w:val="001323DD"/>
    <w:rsid w:val="0013258F"/>
    <w:rsid w:val="00132A51"/>
    <w:rsid w:val="00132B56"/>
    <w:rsid w:val="00132F54"/>
    <w:rsid w:val="00132FC4"/>
    <w:rsid w:val="001331C3"/>
    <w:rsid w:val="001334B7"/>
    <w:rsid w:val="00133A71"/>
    <w:rsid w:val="0013543D"/>
    <w:rsid w:val="001355F5"/>
    <w:rsid w:val="001366E3"/>
    <w:rsid w:val="001369F1"/>
    <w:rsid w:val="00136FC9"/>
    <w:rsid w:val="00137751"/>
    <w:rsid w:val="0014031D"/>
    <w:rsid w:val="00140361"/>
    <w:rsid w:val="00140598"/>
    <w:rsid w:val="00140CF0"/>
    <w:rsid w:val="00142293"/>
    <w:rsid w:val="001424F7"/>
    <w:rsid w:val="00142CD5"/>
    <w:rsid w:val="00143445"/>
    <w:rsid w:val="001434C6"/>
    <w:rsid w:val="001437F2"/>
    <w:rsid w:val="00143841"/>
    <w:rsid w:val="00143AEC"/>
    <w:rsid w:val="00144F1C"/>
    <w:rsid w:val="00144F4B"/>
    <w:rsid w:val="00145127"/>
    <w:rsid w:val="0014552B"/>
    <w:rsid w:val="00145664"/>
    <w:rsid w:val="00145C86"/>
    <w:rsid w:val="00146550"/>
    <w:rsid w:val="00146DB6"/>
    <w:rsid w:val="0014742F"/>
    <w:rsid w:val="001474A8"/>
    <w:rsid w:val="00147E98"/>
    <w:rsid w:val="00147EA8"/>
    <w:rsid w:val="001503E1"/>
    <w:rsid w:val="00151B66"/>
    <w:rsid w:val="00151B6C"/>
    <w:rsid w:val="00151FC3"/>
    <w:rsid w:val="001538E4"/>
    <w:rsid w:val="00153E5F"/>
    <w:rsid w:val="00153E71"/>
    <w:rsid w:val="00153F17"/>
    <w:rsid w:val="00154308"/>
    <w:rsid w:val="00154387"/>
    <w:rsid w:val="00154451"/>
    <w:rsid w:val="001554DC"/>
    <w:rsid w:val="0015586F"/>
    <w:rsid w:val="00155E3D"/>
    <w:rsid w:val="00156593"/>
    <w:rsid w:val="00156DAD"/>
    <w:rsid w:val="001571D9"/>
    <w:rsid w:val="00157C67"/>
    <w:rsid w:val="00157DAA"/>
    <w:rsid w:val="00160362"/>
    <w:rsid w:val="001603B0"/>
    <w:rsid w:val="00160581"/>
    <w:rsid w:val="001606D2"/>
    <w:rsid w:val="0016070E"/>
    <w:rsid w:val="0016074D"/>
    <w:rsid w:val="0016087D"/>
    <w:rsid w:val="00161673"/>
    <w:rsid w:val="00162296"/>
    <w:rsid w:val="00162460"/>
    <w:rsid w:val="0016290D"/>
    <w:rsid w:val="00162A9B"/>
    <w:rsid w:val="00162E4A"/>
    <w:rsid w:val="00163966"/>
    <w:rsid w:val="00163CEC"/>
    <w:rsid w:val="001643A4"/>
    <w:rsid w:val="00165846"/>
    <w:rsid w:val="00165D04"/>
    <w:rsid w:val="00166AE3"/>
    <w:rsid w:val="00166BCF"/>
    <w:rsid w:val="00166E0E"/>
    <w:rsid w:val="00166E44"/>
    <w:rsid w:val="001671CE"/>
    <w:rsid w:val="00167A03"/>
    <w:rsid w:val="00167CDE"/>
    <w:rsid w:val="0017000E"/>
    <w:rsid w:val="001707BE"/>
    <w:rsid w:val="00170D85"/>
    <w:rsid w:val="0017132A"/>
    <w:rsid w:val="0017155B"/>
    <w:rsid w:val="001715D2"/>
    <w:rsid w:val="001725AB"/>
    <w:rsid w:val="0017265E"/>
    <w:rsid w:val="00172B54"/>
    <w:rsid w:val="0017396D"/>
    <w:rsid w:val="00173AB4"/>
    <w:rsid w:val="001747CA"/>
    <w:rsid w:val="00174EF4"/>
    <w:rsid w:val="001755CC"/>
    <w:rsid w:val="00175606"/>
    <w:rsid w:val="0017651F"/>
    <w:rsid w:val="001765B1"/>
    <w:rsid w:val="001770FA"/>
    <w:rsid w:val="0017797B"/>
    <w:rsid w:val="0017799E"/>
    <w:rsid w:val="00177A1B"/>
    <w:rsid w:val="00177BF3"/>
    <w:rsid w:val="00177EB7"/>
    <w:rsid w:val="0018094A"/>
    <w:rsid w:val="001812A9"/>
    <w:rsid w:val="001814C5"/>
    <w:rsid w:val="00181C96"/>
    <w:rsid w:val="00181CB3"/>
    <w:rsid w:val="0018297C"/>
    <w:rsid w:val="00182CC2"/>
    <w:rsid w:val="0018407D"/>
    <w:rsid w:val="00184541"/>
    <w:rsid w:val="00184B50"/>
    <w:rsid w:val="00184D9B"/>
    <w:rsid w:val="0018563E"/>
    <w:rsid w:val="00185C5E"/>
    <w:rsid w:val="00185EF8"/>
    <w:rsid w:val="0018655F"/>
    <w:rsid w:val="00187108"/>
    <w:rsid w:val="00187150"/>
    <w:rsid w:val="0018740B"/>
    <w:rsid w:val="00187491"/>
    <w:rsid w:val="00187BB2"/>
    <w:rsid w:val="00187C30"/>
    <w:rsid w:val="00187CFB"/>
    <w:rsid w:val="00187D45"/>
    <w:rsid w:val="00187EF1"/>
    <w:rsid w:val="0019019F"/>
    <w:rsid w:val="001903AD"/>
    <w:rsid w:val="001905F9"/>
    <w:rsid w:val="00190B0C"/>
    <w:rsid w:val="00191266"/>
    <w:rsid w:val="0019230B"/>
    <w:rsid w:val="0019264C"/>
    <w:rsid w:val="001927A2"/>
    <w:rsid w:val="0019297B"/>
    <w:rsid w:val="0019326F"/>
    <w:rsid w:val="001944D4"/>
    <w:rsid w:val="0019466D"/>
    <w:rsid w:val="00194977"/>
    <w:rsid w:val="00194996"/>
    <w:rsid w:val="00195782"/>
    <w:rsid w:val="00195F32"/>
    <w:rsid w:val="00196A61"/>
    <w:rsid w:val="00196A76"/>
    <w:rsid w:val="00196ECC"/>
    <w:rsid w:val="001972F6"/>
    <w:rsid w:val="00197558"/>
    <w:rsid w:val="001A051A"/>
    <w:rsid w:val="001A05BB"/>
    <w:rsid w:val="001A06B7"/>
    <w:rsid w:val="001A0883"/>
    <w:rsid w:val="001A095B"/>
    <w:rsid w:val="001A20C3"/>
    <w:rsid w:val="001A2193"/>
    <w:rsid w:val="001A227F"/>
    <w:rsid w:val="001A235E"/>
    <w:rsid w:val="001A24C7"/>
    <w:rsid w:val="001A3947"/>
    <w:rsid w:val="001A3DB9"/>
    <w:rsid w:val="001A3DCB"/>
    <w:rsid w:val="001A4700"/>
    <w:rsid w:val="001A57EE"/>
    <w:rsid w:val="001A6655"/>
    <w:rsid w:val="001A6658"/>
    <w:rsid w:val="001A6E7F"/>
    <w:rsid w:val="001A6EC6"/>
    <w:rsid w:val="001A72BD"/>
    <w:rsid w:val="001A754E"/>
    <w:rsid w:val="001A77B7"/>
    <w:rsid w:val="001A7865"/>
    <w:rsid w:val="001A786E"/>
    <w:rsid w:val="001A796D"/>
    <w:rsid w:val="001B02AC"/>
    <w:rsid w:val="001B034C"/>
    <w:rsid w:val="001B0DD5"/>
    <w:rsid w:val="001B16BF"/>
    <w:rsid w:val="001B17A2"/>
    <w:rsid w:val="001B20FB"/>
    <w:rsid w:val="001B3A27"/>
    <w:rsid w:val="001B3DEC"/>
    <w:rsid w:val="001B4573"/>
    <w:rsid w:val="001B47BA"/>
    <w:rsid w:val="001B5204"/>
    <w:rsid w:val="001B5A33"/>
    <w:rsid w:val="001B5C7D"/>
    <w:rsid w:val="001B5DFA"/>
    <w:rsid w:val="001B63AE"/>
    <w:rsid w:val="001B653E"/>
    <w:rsid w:val="001B7283"/>
    <w:rsid w:val="001B777E"/>
    <w:rsid w:val="001B7EE0"/>
    <w:rsid w:val="001C0242"/>
    <w:rsid w:val="001C03A4"/>
    <w:rsid w:val="001C0D1E"/>
    <w:rsid w:val="001C123E"/>
    <w:rsid w:val="001C13C1"/>
    <w:rsid w:val="001C165B"/>
    <w:rsid w:val="001C16DC"/>
    <w:rsid w:val="001C24B5"/>
    <w:rsid w:val="001C2C08"/>
    <w:rsid w:val="001C3167"/>
    <w:rsid w:val="001C32FF"/>
    <w:rsid w:val="001C334C"/>
    <w:rsid w:val="001C3FBA"/>
    <w:rsid w:val="001C40CA"/>
    <w:rsid w:val="001C41A6"/>
    <w:rsid w:val="001C487E"/>
    <w:rsid w:val="001C4A1F"/>
    <w:rsid w:val="001C4A49"/>
    <w:rsid w:val="001C4EED"/>
    <w:rsid w:val="001C542A"/>
    <w:rsid w:val="001C54AD"/>
    <w:rsid w:val="001C5B74"/>
    <w:rsid w:val="001C64CE"/>
    <w:rsid w:val="001C71DA"/>
    <w:rsid w:val="001D027A"/>
    <w:rsid w:val="001D0F6B"/>
    <w:rsid w:val="001D14AD"/>
    <w:rsid w:val="001D14FE"/>
    <w:rsid w:val="001D150C"/>
    <w:rsid w:val="001D1EBD"/>
    <w:rsid w:val="001D1FBC"/>
    <w:rsid w:val="001D2673"/>
    <w:rsid w:val="001D2956"/>
    <w:rsid w:val="001D2E73"/>
    <w:rsid w:val="001D2F51"/>
    <w:rsid w:val="001D37A1"/>
    <w:rsid w:val="001D3F87"/>
    <w:rsid w:val="001D41E8"/>
    <w:rsid w:val="001D4782"/>
    <w:rsid w:val="001D4830"/>
    <w:rsid w:val="001D491B"/>
    <w:rsid w:val="001D4B76"/>
    <w:rsid w:val="001D4C6E"/>
    <w:rsid w:val="001D4CA8"/>
    <w:rsid w:val="001D4E4F"/>
    <w:rsid w:val="001D4E51"/>
    <w:rsid w:val="001D4F4A"/>
    <w:rsid w:val="001D5689"/>
    <w:rsid w:val="001D653C"/>
    <w:rsid w:val="001D66E1"/>
    <w:rsid w:val="001D67F7"/>
    <w:rsid w:val="001D68A5"/>
    <w:rsid w:val="001D696E"/>
    <w:rsid w:val="001D6D91"/>
    <w:rsid w:val="001D6EBA"/>
    <w:rsid w:val="001D75A2"/>
    <w:rsid w:val="001D7716"/>
    <w:rsid w:val="001D787A"/>
    <w:rsid w:val="001D7A62"/>
    <w:rsid w:val="001D7BE6"/>
    <w:rsid w:val="001E0311"/>
    <w:rsid w:val="001E036B"/>
    <w:rsid w:val="001E041C"/>
    <w:rsid w:val="001E0A4C"/>
    <w:rsid w:val="001E0CCD"/>
    <w:rsid w:val="001E0E4C"/>
    <w:rsid w:val="001E16B3"/>
    <w:rsid w:val="001E18CF"/>
    <w:rsid w:val="001E1B3C"/>
    <w:rsid w:val="001E1B8E"/>
    <w:rsid w:val="001E1BD3"/>
    <w:rsid w:val="001E1C85"/>
    <w:rsid w:val="001E2077"/>
    <w:rsid w:val="001E4C66"/>
    <w:rsid w:val="001E51D7"/>
    <w:rsid w:val="001E5ADA"/>
    <w:rsid w:val="001E5DF3"/>
    <w:rsid w:val="001E6669"/>
    <w:rsid w:val="001E6D46"/>
    <w:rsid w:val="001E6F76"/>
    <w:rsid w:val="001E76FE"/>
    <w:rsid w:val="001E7C62"/>
    <w:rsid w:val="001E7CB7"/>
    <w:rsid w:val="001F01A6"/>
    <w:rsid w:val="001F0645"/>
    <w:rsid w:val="001F0E73"/>
    <w:rsid w:val="001F1177"/>
    <w:rsid w:val="001F11B9"/>
    <w:rsid w:val="001F11CE"/>
    <w:rsid w:val="001F145E"/>
    <w:rsid w:val="001F18E0"/>
    <w:rsid w:val="001F20F2"/>
    <w:rsid w:val="001F26F1"/>
    <w:rsid w:val="001F2A1C"/>
    <w:rsid w:val="001F352B"/>
    <w:rsid w:val="001F35F3"/>
    <w:rsid w:val="001F36C7"/>
    <w:rsid w:val="001F3A4F"/>
    <w:rsid w:val="001F3A5F"/>
    <w:rsid w:val="001F4068"/>
    <w:rsid w:val="001F4DC2"/>
    <w:rsid w:val="001F4EFF"/>
    <w:rsid w:val="001F747D"/>
    <w:rsid w:val="001F7AF5"/>
    <w:rsid w:val="001F7B28"/>
    <w:rsid w:val="00200692"/>
    <w:rsid w:val="00201851"/>
    <w:rsid w:val="00201AA0"/>
    <w:rsid w:val="002020B7"/>
    <w:rsid w:val="00202243"/>
    <w:rsid w:val="002027F0"/>
    <w:rsid w:val="002028AF"/>
    <w:rsid w:val="00202D2A"/>
    <w:rsid w:val="00202D36"/>
    <w:rsid w:val="00203F18"/>
    <w:rsid w:val="00204B56"/>
    <w:rsid w:val="0020528B"/>
    <w:rsid w:val="00205317"/>
    <w:rsid w:val="0020577C"/>
    <w:rsid w:val="00205F69"/>
    <w:rsid w:val="002065EB"/>
    <w:rsid w:val="00206A2C"/>
    <w:rsid w:val="00206B35"/>
    <w:rsid w:val="00206C3C"/>
    <w:rsid w:val="0020711A"/>
    <w:rsid w:val="00207307"/>
    <w:rsid w:val="00207D18"/>
    <w:rsid w:val="00210301"/>
    <w:rsid w:val="0021071B"/>
    <w:rsid w:val="0021099F"/>
    <w:rsid w:val="00210A44"/>
    <w:rsid w:val="00210C01"/>
    <w:rsid w:val="00210F71"/>
    <w:rsid w:val="002112A3"/>
    <w:rsid w:val="0021137B"/>
    <w:rsid w:val="002118FB"/>
    <w:rsid w:val="002119C6"/>
    <w:rsid w:val="00211B88"/>
    <w:rsid w:val="00211CD6"/>
    <w:rsid w:val="00212A1E"/>
    <w:rsid w:val="00212F13"/>
    <w:rsid w:val="00213531"/>
    <w:rsid w:val="00213942"/>
    <w:rsid w:val="00213BDA"/>
    <w:rsid w:val="00214368"/>
    <w:rsid w:val="00214B94"/>
    <w:rsid w:val="0021540D"/>
    <w:rsid w:val="0021563A"/>
    <w:rsid w:val="002156DB"/>
    <w:rsid w:val="00215C39"/>
    <w:rsid w:val="00216586"/>
    <w:rsid w:val="00217641"/>
    <w:rsid w:val="002176B1"/>
    <w:rsid w:val="00217D18"/>
    <w:rsid w:val="00220B59"/>
    <w:rsid w:val="00220E45"/>
    <w:rsid w:val="002212E2"/>
    <w:rsid w:val="00221BDF"/>
    <w:rsid w:val="00221FB3"/>
    <w:rsid w:val="00222080"/>
    <w:rsid w:val="002221BF"/>
    <w:rsid w:val="002225A7"/>
    <w:rsid w:val="0022282F"/>
    <w:rsid w:val="00222DD7"/>
    <w:rsid w:val="00223143"/>
    <w:rsid w:val="00223AA1"/>
    <w:rsid w:val="00223B99"/>
    <w:rsid w:val="00224BD8"/>
    <w:rsid w:val="00225282"/>
    <w:rsid w:val="00225387"/>
    <w:rsid w:val="0022594F"/>
    <w:rsid w:val="00225F49"/>
    <w:rsid w:val="00226A4E"/>
    <w:rsid w:val="00226BFE"/>
    <w:rsid w:val="002272A3"/>
    <w:rsid w:val="0022750B"/>
    <w:rsid w:val="00227F78"/>
    <w:rsid w:val="00230107"/>
    <w:rsid w:val="002303F2"/>
    <w:rsid w:val="00230453"/>
    <w:rsid w:val="00230E26"/>
    <w:rsid w:val="0023116B"/>
    <w:rsid w:val="002314A8"/>
    <w:rsid w:val="002315A9"/>
    <w:rsid w:val="0023293D"/>
    <w:rsid w:val="00233630"/>
    <w:rsid w:val="00233781"/>
    <w:rsid w:val="002345B1"/>
    <w:rsid w:val="002347D0"/>
    <w:rsid w:val="00235081"/>
    <w:rsid w:val="002365D5"/>
    <w:rsid w:val="00236891"/>
    <w:rsid w:val="00236F25"/>
    <w:rsid w:val="00237403"/>
    <w:rsid w:val="002378F2"/>
    <w:rsid w:val="00240423"/>
    <w:rsid w:val="00240E90"/>
    <w:rsid w:val="002412F6"/>
    <w:rsid w:val="0024141A"/>
    <w:rsid w:val="00241437"/>
    <w:rsid w:val="0024178C"/>
    <w:rsid w:val="00241FBF"/>
    <w:rsid w:val="0024238F"/>
    <w:rsid w:val="00242529"/>
    <w:rsid w:val="002448A8"/>
    <w:rsid w:val="00244EB8"/>
    <w:rsid w:val="0024595F"/>
    <w:rsid w:val="00245A17"/>
    <w:rsid w:val="00245A65"/>
    <w:rsid w:val="002475A6"/>
    <w:rsid w:val="00247C63"/>
    <w:rsid w:val="00247DBD"/>
    <w:rsid w:val="00247F20"/>
    <w:rsid w:val="00250ECD"/>
    <w:rsid w:val="0025131E"/>
    <w:rsid w:val="0025210A"/>
    <w:rsid w:val="00252443"/>
    <w:rsid w:val="00252543"/>
    <w:rsid w:val="0025257C"/>
    <w:rsid w:val="002526DD"/>
    <w:rsid w:val="00252830"/>
    <w:rsid w:val="00252990"/>
    <w:rsid w:val="002531A4"/>
    <w:rsid w:val="00253269"/>
    <w:rsid w:val="002536B1"/>
    <w:rsid w:val="00254BFD"/>
    <w:rsid w:val="002550E3"/>
    <w:rsid w:val="00255396"/>
    <w:rsid w:val="00255428"/>
    <w:rsid w:val="0025590A"/>
    <w:rsid w:val="00255E8A"/>
    <w:rsid w:val="002563BF"/>
    <w:rsid w:val="00256793"/>
    <w:rsid w:val="002569E2"/>
    <w:rsid w:val="00256BE2"/>
    <w:rsid w:val="00256D89"/>
    <w:rsid w:val="0025711D"/>
    <w:rsid w:val="002575BA"/>
    <w:rsid w:val="00257A5A"/>
    <w:rsid w:val="00260751"/>
    <w:rsid w:val="00260CC0"/>
    <w:rsid w:val="00260DD1"/>
    <w:rsid w:val="00260F4C"/>
    <w:rsid w:val="002615C6"/>
    <w:rsid w:val="00262790"/>
    <w:rsid w:val="002627F9"/>
    <w:rsid w:val="00262CC2"/>
    <w:rsid w:val="00263102"/>
    <w:rsid w:val="0026375C"/>
    <w:rsid w:val="0026428E"/>
    <w:rsid w:val="00264495"/>
    <w:rsid w:val="002645F3"/>
    <w:rsid w:val="002647FE"/>
    <w:rsid w:val="0026537B"/>
    <w:rsid w:val="00265CED"/>
    <w:rsid w:val="00265DEB"/>
    <w:rsid w:val="00265EF6"/>
    <w:rsid w:val="00267319"/>
    <w:rsid w:val="00267705"/>
    <w:rsid w:val="00267C61"/>
    <w:rsid w:val="0027234C"/>
    <w:rsid w:val="00272763"/>
    <w:rsid w:val="00272CED"/>
    <w:rsid w:val="00273003"/>
    <w:rsid w:val="002737D4"/>
    <w:rsid w:val="00274269"/>
    <w:rsid w:val="00274526"/>
    <w:rsid w:val="002746E8"/>
    <w:rsid w:val="00274D63"/>
    <w:rsid w:val="00274FC2"/>
    <w:rsid w:val="00274FFC"/>
    <w:rsid w:val="00275A4E"/>
    <w:rsid w:val="00275B73"/>
    <w:rsid w:val="00275C21"/>
    <w:rsid w:val="00275F0E"/>
    <w:rsid w:val="002764BE"/>
    <w:rsid w:val="002765A3"/>
    <w:rsid w:val="00276702"/>
    <w:rsid w:val="002769E6"/>
    <w:rsid w:val="00276EC5"/>
    <w:rsid w:val="00277BC7"/>
    <w:rsid w:val="00277CAA"/>
    <w:rsid w:val="00280268"/>
    <w:rsid w:val="00282DE9"/>
    <w:rsid w:val="00283BA6"/>
    <w:rsid w:val="00283E22"/>
    <w:rsid w:val="00284F5A"/>
    <w:rsid w:val="00284FB3"/>
    <w:rsid w:val="002852A2"/>
    <w:rsid w:val="0028542B"/>
    <w:rsid w:val="0028623F"/>
    <w:rsid w:val="0028645F"/>
    <w:rsid w:val="002868CC"/>
    <w:rsid w:val="002871D0"/>
    <w:rsid w:val="00290105"/>
    <w:rsid w:val="00290BDC"/>
    <w:rsid w:val="00290C9B"/>
    <w:rsid w:val="00290E83"/>
    <w:rsid w:val="002912F9"/>
    <w:rsid w:val="00291C8F"/>
    <w:rsid w:val="002923A5"/>
    <w:rsid w:val="002924C6"/>
    <w:rsid w:val="0029290B"/>
    <w:rsid w:val="00292A34"/>
    <w:rsid w:val="00292A71"/>
    <w:rsid w:val="00292BE0"/>
    <w:rsid w:val="00293847"/>
    <w:rsid w:val="00293BD4"/>
    <w:rsid w:val="00293FB7"/>
    <w:rsid w:val="0029462B"/>
    <w:rsid w:val="0029475F"/>
    <w:rsid w:val="002958F1"/>
    <w:rsid w:val="00296694"/>
    <w:rsid w:val="002968AF"/>
    <w:rsid w:val="002969DD"/>
    <w:rsid w:val="00296C04"/>
    <w:rsid w:val="00296C57"/>
    <w:rsid w:val="002971DD"/>
    <w:rsid w:val="00297D36"/>
    <w:rsid w:val="00297E7E"/>
    <w:rsid w:val="002A039D"/>
    <w:rsid w:val="002A073D"/>
    <w:rsid w:val="002A0A5C"/>
    <w:rsid w:val="002A1808"/>
    <w:rsid w:val="002A1C6E"/>
    <w:rsid w:val="002A1DC5"/>
    <w:rsid w:val="002A200B"/>
    <w:rsid w:val="002A28CE"/>
    <w:rsid w:val="002A2B80"/>
    <w:rsid w:val="002A2EDF"/>
    <w:rsid w:val="002A407C"/>
    <w:rsid w:val="002A41C9"/>
    <w:rsid w:val="002A47BA"/>
    <w:rsid w:val="002A5F10"/>
    <w:rsid w:val="002A68D3"/>
    <w:rsid w:val="002A73BC"/>
    <w:rsid w:val="002A7438"/>
    <w:rsid w:val="002A787A"/>
    <w:rsid w:val="002A7F45"/>
    <w:rsid w:val="002B0331"/>
    <w:rsid w:val="002B0E95"/>
    <w:rsid w:val="002B0EAD"/>
    <w:rsid w:val="002B1516"/>
    <w:rsid w:val="002B1C0C"/>
    <w:rsid w:val="002B2440"/>
    <w:rsid w:val="002B2825"/>
    <w:rsid w:val="002B2A77"/>
    <w:rsid w:val="002B2BEC"/>
    <w:rsid w:val="002B2E32"/>
    <w:rsid w:val="002B2FCF"/>
    <w:rsid w:val="002B318A"/>
    <w:rsid w:val="002B3ECD"/>
    <w:rsid w:val="002B3FE3"/>
    <w:rsid w:val="002B4143"/>
    <w:rsid w:val="002B4CF4"/>
    <w:rsid w:val="002B51B7"/>
    <w:rsid w:val="002B5A64"/>
    <w:rsid w:val="002B5F23"/>
    <w:rsid w:val="002B6947"/>
    <w:rsid w:val="002B71D4"/>
    <w:rsid w:val="002B7335"/>
    <w:rsid w:val="002C0BD2"/>
    <w:rsid w:val="002C1284"/>
    <w:rsid w:val="002C1859"/>
    <w:rsid w:val="002C1869"/>
    <w:rsid w:val="002C1BD7"/>
    <w:rsid w:val="002C254C"/>
    <w:rsid w:val="002C2D92"/>
    <w:rsid w:val="002C3AE4"/>
    <w:rsid w:val="002C3BCA"/>
    <w:rsid w:val="002C3D0C"/>
    <w:rsid w:val="002C3FD0"/>
    <w:rsid w:val="002C463C"/>
    <w:rsid w:val="002C4747"/>
    <w:rsid w:val="002C4ABB"/>
    <w:rsid w:val="002C5877"/>
    <w:rsid w:val="002C5DB4"/>
    <w:rsid w:val="002C64B8"/>
    <w:rsid w:val="002C720F"/>
    <w:rsid w:val="002C75C1"/>
    <w:rsid w:val="002C79BC"/>
    <w:rsid w:val="002D0995"/>
    <w:rsid w:val="002D1368"/>
    <w:rsid w:val="002D19EA"/>
    <w:rsid w:val="002D21AD"/>
    <w:rsid w:val="002D2340"/>
    <w:rsid w:val="002D25E3"/>
    <w:rsid w:val="002D3685"/>
    <w:rsid w:val="002D3D64"/>
    <w:rsid w:val="002D4958"/>
    <w:rsid w:val="002D4AD7"/>
    <w:rsid w:val="002D52D8"/>
    <w:rsid w:val="002D63F9"/>
    <w:rsid w:val="002D645A"/>
    <w:rsid w:val="002D648B"/>
    <w:rsid w:val="002D687C"/>
    <w:rsid w:val="002D6A0C"/>
    <w:rsid w:val="002D6E26"/>
    <w:rsid w:val="002D71C2"/>
    <w:rsid w:val="002D76FB"/>
    <w:rsid w:val="002D79DC"/>
    <w:rsid w:val="002E083E"/>
    <w:rsid w:val="002E1193"/>
    <w:rsid w:val="002E135C"/>
    <w:rsid w:val="002E17D9"/>
    <w:rsid w:val="002E1897"/>
    <w:rsid w:val="002E1928"/>
    <w:rsid w:val="002E34E2"/>
    <w:rsid w:val="002E35DC"/>
    <w:rsid w:val="002E4169"/>
    <w:rsid w:val="002E44DF"/>
    <w:rsid w:val="002E4915"/>
    <w:rsid w:val="002E4963"/>
    <w:rsid w:val="002E49C7"/>
    <w:rsid w:val="002E4ABC"/>
    <w:rsid w:val="002E4D08"/>
    <w:rsid w:val="002E504A"/>
    <w:rsid w:val="002E5B5D"/>
    <w:rsid w:val="002E5EDB"/>
    <w:rsid w:val="002E7550"/>
    <w:rsid w:val="002E794B"/>
    <w:rsid w:val="002E7BC1"/>
    <w:rsid w:val="002E7ECB"/>
    <w:rsid w:val="002F0846"/>
    <w:rsid w:val="002F10DC"/>
    <w:rsid w:val="002F1601"/>
    <w:rsid w:val="002F1C83"/>
    <w:rsid w:val="002F1CA2"/>
    <w:rsid w:val="002F1E69"/>
    <w:rsid w:val="002F1E7F"/>
    <w:rsid w:val="002F1ED0"/>
    <w:rsid w:val="002F2085"/>
    <w:rsid w:val="002F2B41"/>
    <w:rsid w:val="002F34BC"/>
    <w:rsid w:val="002F402D"/>
    <w:rsid w:val="002F424C"/>
    <w:rsid w:val="002F491E"/>
    <w:rsid w:val="002F4AE0"/>
    <w:rsid w:val="002F4B6E"/>
    <w:rsid w:val="002F4C83"/>
    <w:rsid w:val="002F4D47"/>
    <w:rsid w:val="002F57C8"/>
    <w:rsid w:val="002F5D60"/>
    <w:rsid w:val="002F62E0"/>
    <w:rsid w:val="002F637C"/>
    <w:rsid w:val="002F6462"/>
    <w:rsid w:val="002F6EBE"/>
    <w:rsid w:val="002F6F6F"/>
    <w:rsid w:val="002F7CF6"/>
    <w:rsid w:val="0030029D"/>
    <w:rsid w:val="00300B5F"/>
    <w:rsid w:val="003024EE"/>
    <w:rsid w:val="00302557"/>
    <w:rsid w:val="00302C12"/>
    <w:rsid w:val="0030314F"/>
    <w:rsid w:val="003032CA"/>
    <w:rsid w:val="00303505"/>
    <w:rsid w:val="0030350A"/>
    <w:rsid w:val="00303B51"/>
    <w:rsid w:val="00303F47"/>
    <w:rsid w:val="00304140"/>
    <w:rsid w:val="00304A68"/>
    <w:rsid w:val="00304A81"/>
    <w:rsid w:val="00305E81"/>
    <w:rsid w:val="003060C2"/>
    <w:rsid w:val="0030634C"/>
    <w:rsid w:val="003064E3"/>
    <w:rsid w:val="00307930"/>
    <w:rsid w:val="00307ED9"/>
    <w:rsid w:val="00310A58"/>
    <w:rsid w:val="00310D7B"/>
    <w:rsid w:val="00311838"/>
    <w:rsid w:val="00311ABC"/>
    <w:rsid w:val="00311D32"/>
    <w:rsid w:val="00312936"/>
    <w:rsid w:val="00312F20"/>
    <w:rsid w:val="00313427"/>
    <w:rsid w:val="0031372D"/>
    <w:rsid w:val="003143E8"/>
    <w:rsid w:val="00314CA6"/>
    <w:rsid w:val="00314CC9"/>
    <w:rsid w:val="003155C2"/>
    <w:rsid w:val="00315B27"/>
    <w:rsid w:val="0031607D"/>
    <w:rsid w:val="00316AE1"/>
    <w:rsid w:val="00316DC1"/>
    <w:rsid w:val="00317011"/>
    <w:rsid w:val="00317D5E"/>
    <w:rsid w:val="0032012B"/>
    <w:rsid w:val="00320326"/>
    <w:rsid w:val="00320B76"/>
    <w:rsid w:val="003224FF"/>
    <w:rsid w:val="00322705"/>
    <w:rsid w:val="00322E24"/>
    <w:rsid w:val="003236C5"/>
    <w:rsid w:val="00323E36"/>
    <w:rsid w:val="00324043"/>
    <w:rsid w:val="00324282"/>
    <w:rsid w:val="00324BF5"/>
    <w:rsid w:val="00324FE9"/>
    <w:rsid w:val="00325A35"/>
    <w:rsid w:val="00327351"/>
    <w:rsid w:val="0032748C"/>
    <w:rsid w:val="003277E9"/>
    <w:rsid w:val="00327833"/>
    <w:rsid w:val="00327998"/>
    <w:rsid w:val="00327A58"/>
    <w:rsid w:val="00330208"/>
    <w:rsid w:val="00330308"/>
    <w:rsid w:val="00330950"/>
    <w:rsid w:val="00331979"/>
    <w:rsid w:val="00332582"/>
    <w:rsid w:val="00332C04"/>
    <w:rsid w:val="00333224"/>
    <w:rsid w:val="00333B69"/>
    <w:rsid w:val="00333F27"/>
    <w:rsid w:val="003343F0"/>
    <w:rsid w:val="00334E04"/>
    <w:rsid w:val="00335474"/>
    <w:rsid w:val="003354F5"/>
    <w:rsid w:val="00335AEB"/>
    <w:rsid w:val="00336127"/>
    <w:rsid w:val="00337707"/>
    <w:rsid w:val="00340468"/>
    <w:rsid w:val="0034047A"/>
    <w:rsid w:val="003406B6"/>
    <w:rsid w:val="0034138B"/>
    <w:rsid w:val="0034151F"/>
    <w:rsid w:val="00341AEF"/>
    <w:rsid w:val="00342575"/>
    <w:rsid w:val="00342655"/>
    <w:rsid w:val="00342B90"/>
    <w:rsid w:val="00343136"/>
    <w:rsid w:val="003432C2"/>
    <w:rsid w:val="00343524"/>
    <w:rsid w:val="0034357B"/>
    <w:rsid w:val="00343ABA"/>
    <w:rsid w:val="00343E39"/>
    <w:rsid w:val="00344D61"/>
    <w:rsid w:val="00344D80"/>
    <w:rsid w:val="00345041"/>
    <w:rsid w:val="00345636"/>
    <w:rsid w:val="0034589C"/>
    <w:rsid w:val="00345DAE"/>
    <w:rsid w:val="0034641E"/>
    <w:rsid w:val="00347093"/>
    <w:rsid w:val="003472F9"/>
    <w:rsid w:val="003476FE"/>
    <w:rsid w:val="003478D6"/>
    <w:rsid w:val="00347DC1"/>
    <w:rsid w:val="00350506"/>
    <w:rsid w:val="0035064D"/>
    <w:rsid w:val="00350B01"/>
    <w:rsid w:val="00350C0B"/>
    <w:rsid w:val="0035179C"/>
    <w:rsid w:val="00351B3B"/>
    <w:rsid w:val="00352011"/>
    <w:rsid w:val="003534D1"/>
    <w:rsid w:val="0035358A"/>
    <w:rsid w:val="003536E5"/>
    <w:rsid w:val="003539DB"/>
    <w:rsid w:val="0035458D"/>
    <w:rsid w:val="00354EC5"/>
    <w:rsid w:val="003551CC"/>
    <w:rsid w:val="00355A0C"/>
    <w:rsid w:val="00355AA9"/>
    <w:rsid w:val="00355D85"/>
    <w:rsid w:val="00356185"/>
    <w:rsid w:val="003562DE"/>
    <w:rsid w:val="003563E2"/>
    <w:rsid w:val="003568B0"/>
    <w:rsid w:val="00356B55"/>
    <w:rsid w:val="003573A4"/>
    <w:rsid w:val="00357B5D"/>
    <w:rsid w:val="003607E0"/>
    <w:rsid w:val="00360F70"/>
    <w:rsid w:val="003620D8"/>
    <w:rsid w:val="00362469"/>
    <w:rsid w:val="00362BE8"/>
    <w:rsid w:val="00363163"/>
    <w:rsid w:val="00363978"/>
    <w:rsid w:val="00363C93"/>
    <w:rsid w:val="0036437B"/>
    <w:rsid w:val="00364F1B"/>
    <w:rsid w:val="00364F30"/>
    <w:rsid w:val="003653B1"/>
    <w:rsid w:val="00365B7F"/>
    <w:rsid w:val="00366292"/>
    <w:rsid w:val="00366F77"/>
    <w:rsid w:val="00370F03"/>
    <w:rsid w:val="003710FC"/>
    <w:rsid w:val="0037136B"/>
    <w:rsid w:val="00371F68"/>
    <w:rsid w:val="00372D9F"/>
    <w:rsid w:val="00372E32"/>
    <w:rsid w:val="003739CD"/>
    <w:rsid w:val="00373DA4"/>
    <w:rsid w:val="0037418C"/>
    <w:rsid w:val="003741DA"/>
    <w:rsid w:val="00374E29"/>
    <w:rsid w:val="003754FD"/>
    <w:rsid w:val="00375608"/>
    <w:rsid w:val="003757E9"/>
    <w:rsid w:val="003762A0"/>
    <w:rsid w:val="00376379"/>
    <w:rsid w:val="0037650E"/>
    <w:rsid w:val="003767A4"/>
    <w:rsid w:val="00376D58"/>
    <w:rsid w:val="003771FA"/>
    <w:rsid w:val="003775F8"/>
    <w:rsid w:val="00377886"/>
    <w:rsid w:val="003779C5"/>
    <w:rsid w:val="003801F7"/>
    <w:rsid w:val="003817BD"/>
    <w:rsid w:val="00381B9E"/>
    <w:rsid w:val="0038224F"/>
    <w:rsid w:val="003825F8"/>
    <w:rsid w:val="00382A9D"/>
    <w:rsid w:val="0038325A"/>
    <w:rsid w:val="003835FC"/>
    <w:rsid w:val="003838F7"/>
    <w:rsid w:val="003841C5"/>
    <w:rsid w:val="00384264"/>
    <w:rsid w:val="00384548"/>
    <w:rsid w:val="003849CB"/>
    <w:rsid w:val="003858F7"/>
    <w:rsid w:val="00385917"/>
    <w:rsid w:val="00385A76"/>
    <w:rsid w:val="00385D15"/>
    <w:rsid w:val="00385FB3"/>
    <w:rsid w:val="0038600F"/>
    <w:rsid w:val="0038606D"/>
    <w:rsid w:val="0038606E"/>
    <w:rsid w:val="00386441"/>
    <w:rsid w:val="003866FD"/>
    <w:rsid w:val="003876A6"/>
    <w:rsid w:val="00387CAA"/>
    <w:rsid w:val="003904AB"/>
    <w:rsid w:val="0039056F"/>
    <w:rsid w:val="0039079C"/>
    <w:rsid w:val="00390AAB"/>
    <w:rsid w:val="0039127C"/>
    <w:rsid w:val="0039140B"/>
    <w:rsid w:val="00391F60"/>
    <w:rsid w:val="00391F72"/>
    <w:rsid w:val="00392703"/>
    <w:rsid w:val="003929B5"/>
    <w:rsid w:val="00394183"/>
    <w:rsid w:val="00394241"/>
    <w:rsid w:val="003946A5"/>
    <w:rsid w:val="00397255"/>
    <w:rsid w:val="00397351"/>
    <w:rsid w:val="00397971"/>
    <w:rsid w:val="00397C5B"/>
    <w:rsid w:val="003A0396"/>
    <w:rsid w:val="003A065D"/>
    <w:rsid w:val="003A0925"/>
    <w:rsid w:val="003A0BDC"/>
    <w:rsid w:val="003A0DBC"/>
    <w:rsid w:val="003A182B"/>
    <w:rsid w:val="003A2EC9"/>
    <w:rsid w:val="003A34A1"/>
    <w:rsid w:val="003A3825"/>
    <w:rsid w:val="003A3B5F"/>
    <w:rsid w:val="003A3D8E"/>
    <w:rsid w:val="003A3F97"/>
    <w:rsid w:val="003A4B6F"/>
    <w:rsid w:val="003A507E"/>
    <w:rsid w:val="003A57CD"/>
    <w:rsid w:val="003A63B6"/>
    <w:rsid w:val="003A6E77"/>
    <w:rsid w:val="003A709E"/>
    <w:rsid w:val="003A7196"/>
    <w:rsid w:val="003A7C46"/>
    <w:rsid w:val="003B0BAE"/>
    <w:rsid w:val="003B0DBF"/>
    <w:rsid w:val="003B1518"/>
    <w:rsid w:val="003B1583"/>
    <w:rsid w:val="003B1C76"/>
    <w:rsid w:val="003B1ED9"/>
    <w:rsid w:val="003B270D"/>
    <w:rsid w:val="003B2840"/>
    <w:rsid w:val="003B3650"/>
    <w:rsid w:val="003B3A74"/>
    <w:rsid w:val="003B3CAB"/>
    <w:rsid w:val="003B3FDA"/>
    <w:rsid w:val="003B4B78"/>
    <w:rsid w:val="003B4E7E"/>
    <w:rsid w:val="003B57F1"/>
    <w:rsid w:val="003B5F58"/>
    <w:rsid w:val="003B5F90"/>
    <w:rsid w:val="003B65D7"/>
    <w:rsid w:val="003B67E8"/>
    <w:rsid w:val="003B7FCB"/>
    <w:rsid w:val="003B7FF8"/>
    <w:rsid w:val="003C0070"/>
    <w:rsid w:val="003C0133"/>
    <w:rsid w:val="003C06C9"/>
    <w:rsid w:val="003C074B"/>
    <w:rsid w:val="003C07A2"/>
    <w:rsid w:val="003C0C2C"/>
    <w:rsid w:val="003C0C85"/>
    <w:rsid w:val="003C1625"/>
    <w:rsid w:val="003C1723"/>
    <w:rsid w:val="003C1ECC"/>
    <w:rsid w:val="003C1ECE"/>
    <w:rsid w:val="003C2357"/>
    <w:rsid w:val="003C2607"/>
    <w:rsid w:val="003C2AA6"/>
    <w:rsid w:val="003C2E14"/>
    <w:rsid w:val="003C2E40"/>
    <w:rsid w:val="003C37D3"/>
    <w:rsid w:val="003C3877"/>
    <w:rsid w:val="003C3CC1"/>
    <w:rsid w:val="003C4086"/>
    <w:rsid w:val="003C4226"/>
    <w:rsid w:val="003C47E5"/>
    <w:rsid w:val="003C4BCD"/>
    <w:rsid w:val="003C4CD7"/>
    <w:rsid w:val="003C5718"/>
    <w:rsid w:val="003C5D77"/>
    <w:rsid w:val="003C68F0"/>
    <w:rsid w:val="003C746C"/>
    <w:rsid w:val="003C7A3A"/>
    <w:rsid w:val="003C7A5A"/>
    <w:rsid w:val="003C7C1B"/>
    <w:rsid w:val="003D0038"/>
    <w:rsid w:val="003D00A1"/>
    <w:rsid w:val="003D0517"/>
    <w:rsid w:val="003D0632"/>
    <w:rsid w:val="003D0A37"/>
    <w:rsid w:val="003D0A72"/>
    <w:rsid w:val="003D11E9"/>
    <w:rsid w:val="003D1748"/>
    <w:rsid w:val="003D1842"/>
    <w:rsid w:val="003D1909"/>
    <w:rsid w:val="003D1AC1"/>
    <w:rsid w:val="003D1CA4"/>
    <w:rsid w:val="003D2B6A"/>
    <w:rsid w:val="003D2C24"/>
    <w:rsid w:val="003D34BE"/>
    <w:rsid w:val="003D3C95"/>
    <w:rsid w:val="003D3D7D"/>
    <w:rsid w:val="003D414C"/>
    <w:rsid w:val="003D441D"/>
    <w:rsid w:val="003D4FC6"/>
    <w:rsid w:val="003D56E7"/>
    <w:rsid w:val="003D57A3"/>
    <w:rsid w:val="003D5D9B"/>
    <w:rsid w:val="003D60CC"/>
    <w:rsid w:val="003D67D5"/>
    <w:rsid w:val="003D68EB"/>
    <w:rsid w:val="003D6ADB"/>
    <w:rsid w:val="003D6FAE"/>
    <w:rsid w:val="003D72CC"/>
    <w:rsid w:val="003D7CF0"/>
    <w:rsid w:val="003E23D6"/>
    <w:rsid w:val="003E2FD3"/>
    <w:rsid w:val="003E31EA"/>
    <w:rsid w:val="003E3524"/>
    <w:rsid w:val="003E37E1"/>
    <w:rsid w:val="003E3AEC"/>
    <w:rsid w:val="003E3B90"/>
    <w:rsid w:val="003E542B"/>
    <w:rsid w:val="003E5527"/>
    <w:rsid w:val="003E5888"/>
    <w:rsid w:val="003E5F03"/>
    <w:rsid w:val="003E5F2E"/>
    <w:rsid w:val="003E717A"/>
    <w:rsid w:val="003E73EA"/>
    <w:rsid w:val="003E769A"/>
    <w:rsid w:val="003E7D2E"/>
    <w:rsid w:val="003F00F0"/>
    <w:rsid w:val="003F0134"/>
    <w:rsid w:val="003F03BA"/>
    <w:rsid w:val="003F04C8"/>
    <w:rsid w:val="003F07DB"/>
    <w:rsid w:val="003F0ADC"/>
    <w:rsid w:val="003F0C29"/>
    <w:rsid w:val="003F1062"/>
    <w:rsid w:val="003F1DFC"/>
    <w:rsid w:val="003F2299"/>
    <w:rsid w:val="003F2341"/>
    <w:rsid w:val="003F26A6"/>
    <w:rsid w:val="003F2AF0"/>
    <w:rsid w:val="003F32C9"/>
    <w:rsid w:val="003F386D"/>
    <w:rsid w:val="003F3E71"/>
    <w:rsid w:val="003F402B"/>
    <w:rsid w:val="003F40A8"/>
    <w:rsid w:val="003F41A4"/>
    <w:rsid w:val="003F47F8"/>
    <w:rsid w:val="003F4B40"/>
    <w:rsid w:val="003F4C9D"/>
    <w:rsid w:val="003F4FFD"/>
    <w:rsid w:val="003F530F"/>
    <w:rsid w:val="003F583B"/>
    <w:rsid w:val="003F5ACF"/>
    <w:rsid w:val="003F5CEA"/>
    <w:rsid w:val="003F649C"/>
    <w:rsid w:val="003F7DFF"/>
    <w:rsid w:val="00400665"/>
    <w:rsid w:val="004007ED"/>
    <w:rsid w:val="004015E3"/>
    <w:rsid w:val="0040165A"/>
    <w:rsid w:val="004018C6"/>
    <w:rsid w:val="00401983"/>
    <w:rsid w:val="004025D4"/>
    <w:rsid w:val="004032D3"/>
    <w:rsid w:val="004033FE"/>
    <w:rsid w:val="00403B9C"/>
    <w:rsid w:val="00404A2A"/>
    <w:rsid w:val="00404CA0"/>
    <w:rsid w:val="00404F97"/>
    <w:rsid w:val="004052FF"/>
    <w:rsid w:val="004060C7"/>
    <w:rsid w:val="004062A3"/>
    <w:rsid w:val="00406D33"/>
    <w:rsid w:val="00406E20"/>
    <w:rsid w:val="004071BD"/>
    <w:rsid w:val="00407AC2"/>
    <w:rsid w:val="00407C75"/>
    <w:rsid w:val="00410179"/>
    <w:rsid w:val="004108F3"/>
    <w:rsid w:val="0041138B"/>
    <w:rsid w:val="00411409"/>
    <w:rsid w:val="00411D9D"/>
    <w:rsid w:val="00411EAE"/>
    <w:rsid w:val="00411FF5"/>
    <w:rsid w:val="004120A3"/>
    <w:rsid w:val="004123BF"/>
    <w:rsid w:val="00412EB9"/>
    <w:rsid w:val="004134CA"/>
    <w:rsid w:val="00413A21"/>
    <w:rsid w:val="00413C4F"/>
    <w:rsid w:val="00413F0E"/>
    <w:rsid w:val="00413FB7"/>
    <w:rsid w:val="0041596E"/>
    <w:rsid w:val="00416289"/>
    <w:rsid w:val="00416570"/>
    <w:rsid w:val="004166DB"/>
    <w:rsid w:val="00416BCD"/>
    <w:rsid w:val="00416DED"/>
    <w:rsid w:val="00416FBE"/>
    <w:rsid w:val="00420111"/>
    <w:rsid w:val="00420ABF"/>
    <w:rsid w:val="00420D0E"/>
    <w:rsid w:val="00420E21"/>
    <w:rsid w:val="00420F5B"/>
    <w:rsid w:val="00420FDF"/>
    <w:rsid w:val="0042114B"/>
    <w:rsid w:val="00421361"/>
    <w:rsid w:val="00421FDE"/>
    <w:rsid w:val="0042211E"/>
    <w:rsid w:val="0042215F"/>
    <w:rsid w:val="00423EF9"/>
    <w:rsid w:val="004251E3"/>
    <w:rsid w:val="00425483"/>
    <w:rsid w:val="0042596A"/>
    <w:rsid w:val="00425C75"/>
    <w:rsid w:val="004261A1"/>
    <w:rsid w:val="0042642A"/>
    <w:rsid w:val="004266A6"/>
    <w:rsid w:val="004308B6"/>
    <w:rsid w:val="00430B49"/>
    <w:rsid w:val="00430BF3"/>
    <w:rsid w:val="004310BE"/>
    <w:rsid w:val="00431100"/>
    <w:rsid w:val="0043137B"/>
    <w:rsid w:val="00431514"/>
    <w:rsid w:val="0043167F"/>
    <w:rsid w:val="004316EE"/>
    <w:rsid w:val="00431EA7"/>
    <w:rsid w:val="004324C2"/>
    <w:rsid w:val="00432728"/>
    <w:rsid w:val="00432858"/>
    <w:rsid w:val="00432AA0"/>
    <w:rsid w:val="004332B8"/>
    <w:rsid w:val="004340EF"/>
    <w:rsid w:val="00434324"/>
    <w:rsid w:val="00434435"/>
    <w:rsid w:val="0043486C"/>
    <w:rsid w:val="00434CC8"/>
    <w:rsid w:val="00435106"/>
    <w:rsid w:val="0043519A"/>
    <w:rsid w:val="004352F0"/>
    <w:rsid w:val="0043580D"/>
    <w:rsid w:val="00436169"/>
    <w:rsid w:val="00436420"/>
    <w:rsid w:val="00436678"/>
    <w:rsid w:val="004369BE"/>
    <w:rsid w:val="00436AE1"/>
    <w:rsid w:val="00437A11"/>
    <w:rsid w:val="0044014D"/>
    <w:rsid w:val="00440557"/>
    <w:rsid w:val="004405E8"/>
    <w:rsid w:val="00440C13"/>
    <w:rsid w:val="00440C38"/>
    <w:rsid w:val="00441044"/>
    <w:rsid w:val="00441A85"/>
    <w:rsid w:val="00441DB0"/>
    <w:rsid w:val="00443579"/>
    <w:rsid w:val="00443C8E"/>
    <w:rsid w:val="00444151"/>
    <w:rsid w:val="00444322"/>
    <w:rsid w:val="00444543"/>
    <w:rsid w:val="00444D5F"/>
    <w:rsid w:val="0044505F"/>
    <w:rsid w:val="004453C1"/>
    <w:rsid w:val="0044562C"/>
    <w:rsid w:val="004457E5"/>
    <w:rsid w:val="004473F8"/>
    <w:rsid w:val="0044766F"/>
    <w:rsid w:val="004476B4"/>
    <w:rsid w:val="0044788F"/>
    <w:rsid w:val="00447959"/>
    <w:rsid w:val="004479F0"/>
    <w:rsid w:val="00451098"/>
    <w:rsid w:val="004511DB"/>
    <w:rsid w:val="00451223"/>
    <w:rsid w:val="00451779"/>
    <w:rsid w:val="0045326E"/>
    <w:rsid w:val="00453E35"/>
    <w:rsid w:val="00454632"/>
    <w:rsid w:val="00454844"/>
    <w:rsid w:val="00454969"/>
    <w:rsid w:val="00455146"/>
    <w:rsid w:val="00455E2C"/>
    <w:rsid w:val="00457457"/>
    <w:rsid w:val="004577E3"/>
    <w:rsid w:val="00457992"/>
    <w:rsid w:val="00457ADD"/>
    <w:rsid w:val="00457D8C"/>
    <w:rsid w:val="00460506"/>
    <w:rsid w:val="00460657"/>
    <w:rsid w:val="00460859"/>
    <w:rsid w:val="004624ED"/>
    <w:rsid w:val="004627B2"/>
    <w:rsid w:val="00462B9A"/>
    <w:rsid w:val="00462EB4"/>
    <w:rsid w:val="00462F2B"/>
    <w:rsid w:val="00463188"/>
    <w:rsid w:val="004638CD"/>
    <w:rsid w:val="004642F4"/>
    <w:rsid w:val="004642FA"/>
    <w:rsid w:val="00464BE6"/>
    <w:rsid w:val="00465647"/>
    <w:rsid w:val="004659EE"/>
    <w:rsid w:val="004661C9"/>
    <w:rsid w:val="004663D9"/>
    <w:rsid w:val="00466821"/>
    <w:rsid w:val="00466B3D"/>
    <w:rsid w:val="00466E91"/>
    <w:rsid w:val="00467A06"/>
    <w:rsid w:val="00467D04"/>
    <w:rsid w:val="004700C8"/>
    <w:rsid w:val="00470140"/>
    <w:rsid w:val="00470223"/>
    <w:rsid w:val="00470421"/>
    <w:rsid w:val="00470D23"/>
    <w:rsid w:val="0047126E"/>
    <w:rsid w:val="00471593"/>
    <w:rsid w:val="0047162D"/>
    <w:rsid w:val="00471659"/>
    <w:rsid w:val="004717F5"/>
    <w:rsid w:val="00471931"/>
    <w:rsid w:val="00471A0C"/>
    <w:rsid w:val="00471A2D"/>
    <w:rsid w:val="00471B40"/>
    <w:rsid w:val="00472386"/>
    <w:rsid w:val="00472B9D"/>
    <w:rsid w:val="004733CD"/>
    <w:rsid w:val="00473668"/>
    <w:rsid w:val="004737FD"/>
    <w:rsid w:val="0047381E"/>
    <w:rsid w:val="0047416D"/>
    <w:rsid w:val="00474760"/>
    <w:rsid w:val="0047487D"/>
    <w:rsid w:val="0047487F"/>
    <w:rsid w:val="00474D4F"/>
    <w:rsid w:val="00475226"/>
    <w:rsid w:val="0047554C"/>
    <w:rsid w:val="004758B5"/>
    <w:rsid w:val="00477186"/>
    <w:rsid w:val="00477BF2"/>
    <w:rsid w:val="00477C10"/>
    <w:rsid w:val="00477CE1"/>
    <w:rsid w:val="00480048"/>
    <w:rsid w:val="004805D1"/>
    <w:rsid w:val="004806EA"/>
    <w:rsid w:val="00481C2D"/>
    <w:rsid w:val="00481F17"/>
    <w:rsid w:val="00482C3E"/>
    <w:rsid w:val="00483174"/>
    <w:rsid w:val="00483193"/>
    <w:rsid w:val="004832B1"/>
    <w:rsid w:val="00483485"/>
    <w:rsid w:val="0048350D"/>
    <w:rsid w:val="004836C9"/>
    <w:rsid w:val="0048383F"/>
    <w:rsid w:val="00483B39"/>
    <w:rsid w:val="00484BEE"/>
    <w:rsid w:val="00484D2D"/>
    <w:rsid w:val="00485798"/>
    <w:rsid w:val="00485A80"/>
    <w:rsid w:val="00485B11"/>
    <w:rsid w:val="004863BA"/>
    <w:rsid w:val="00486451"/>
    <w:rsid w:val="00486E21"/>
    <w:rsid w:val="00487FEE"/>
    <w:rsid w:val="00492C48"/>
    <w:rsid w:val="00492E50"/>
    <w:rsid w:val="0049367F"/>
    <w:rsid w:val="00493E85"/>
    <w:rsid w:val="0049403E"/>
    <w:rsid w:val="00494AD9"/>
    <w:rsid w:val="0049512E"/>
    <w:rsid w:val="004951B3"/>
    <w:rsid w:val="00495543"/>
    <w:rsid w:val="00496227"/>
    <w:rsid w:val="00496489"/>
    <w:rsid w:val="00496672"/>
    <w:rsid w:val="00496957"/>
    <w:rsid w:val="00496B0F"/>
    <w:rsid w:val="004A0304"/>
    <w:rsid w:val="004A04E4"/>
    <w:rsid w:val="004A06F9"/>
    <w:rsid w:val="004A1053"/>
    <w:rsid w:val="004A15EA"/>
    <w:rsid w:val="004A234C"/>
    <w:rsid w:val="004A2353"/>
    <w:rsid w:val="004A32F9"/>
    <w:rsid w:val="004A3456"/>
    <w:rsid w:val="004A36D9"/>
    <w:rsid w:val="004A3718"/>
    <w:rsid w:val="004A3900"/>
    <w:rsid w:val="004A492C"/>
    <w:rsid w:val="004A4B3D"/>
    <w:rsid w:val="004A4C0C"/>
    <w:rsid w:val="004A5243"/>
    <w:rsid w:val="004A600B"/>
    <w:rsid w:val="004A65FC"/>
    <w:rsid w:val="004A66AD"/>
    <w:rsid w:val="004B01AF"/>
    <w:rsid w:val="004B01E4"/>
    <w:rsid w:val="004B0BD1"/>
    <w:rsid w:val="004B1631"/>
    <w:rsid w:val="004B236D"/>
    <w:rsid w:val="004B2409"/>
    <w:rsid w:val="004B281A"/>
    <w:rsid w:val="004B29E5"/>
    <w:rsid w:val="004B3541"/>
    <w:rsid w:val="004B37CE"/>
    <w:rsid w:val="004B3E29"/>
    <w:rsid w:val="004B4614"/>
    <w:rsid w:val="004B4868"/>
    <w:rsid w:val="004B525D"/>
    <w:rsid w:val="004B5752"/>
    <w:rsid w:val="004B5957"/>
    <w:rsid w:val="004B5AC3"/>
    <w:rsid w:val="004B5B47"/>
    <w:rsid w:val="004B5BC0"/>
    <w:rsid w:val="004B628E"/>
    <w:rsid w:val="004B6484"/>
    <w:rsid w:val="004B65B3"/>
    <w:rsid w:val="004B6D5D"/>
    <w:rsid w:val="004B7120"/>
    <w:rsid w:val="004B79C6"/>
    <w:rsid w:val="004B7DAB"/>
    <w:rsid w:val="004B7DB4"/>
    <w:rsid w:val="004B7F5F"/>
    <w:rsid w:val="004C01A7"/>
    <w:rsid w:val="004C077C"/>
    <w:rsid w:val="004C08E2"/>
    <w:rsid w:val="004C09D8"/>
    <w:rsid w:val="004C0B8E"/>
    <w:rsid w:val="004C1BAE"/>
    <w:rsid w:val="004C240B"/>
    <w:rsid w:val="004C2462"/>
    <w:rsid w:val="004C2E4B"/>
    <w:rsid w:val="004C3D0F"/>
    <w:rsid w:val="004C3FF4"/>
    <w:rsid w:val="004C52C6"/>
    <w:rsid w:val="004C591A"/>
    <w:rsid w:val="004C5922"/>
    <w:rsid w:val="004C603E"/>
    <w:rsid w:val="004C6169"/>
    <w:rsid w:val="004C69FA"/>
    <w:rsid w:val="004C6F33"/>
    <w:rsid w:val="004C6FFC"/>
    <w:rsid w:val="004C7786"/>
    <w:rsid w:val="004C7B0E"/>
    <w:rsid w:val="004D07D7"/>
    <w:rsid w:val="004D1FD1"/>
    <w:rsid w:val="004D25FC"/>
    <w:rsid w:val="004D2AB3"/>
    <w:rsid w:val="004D308A"/>
    <w:rsid w:val="004D3109"/>
    <w:rsid w:val="004D3CB1"/>
    <w:rsid w:val="004D3D00"/>
    <w:rsid w:val="004D40C0"/>
    <w:rsid w:val="004D4341"/>
    <w:rsid w:val="004D48B2"/>
    <w:rsid w:val="004D48B9"/>
    <w:rsid w:val="004D4B60"/>
    <w:rsid w:val="004D50E9"/>
    <w:rsid w:val="004D5402"/>
    <w:rsid w:val="004D6098"/>
    <w:rsid w:val="004D6167"/>
    <w:rsid w:val="004D783C"/>
    <w:rsid w:val="004D7A9F"/>
    <w:rsid w:val="004D7F42"/>
    <w:rsid w:val="004E001C"/>
    <w:rsid w:val="004E0426"/>
    <w:rsid w:val="004E0ACE"/>
    <w:rsid w:val="004E0D07"/>
    <w:rsid w:val="004E1308"/>
    <w:rsid w:val="004E1B6A"/>
    <w:rsid w:val="004E330B"/>
    <w:rsid w:val="004E3438"/>
    <w:rsid w:val="004E36DD"/>
    <w:rsid w:val="004E3E37"/>
    <w:rsid w:val="004E4802"/>
    <w:rsid w:val="004E49D8"/>
    <w:rsid w:val="004E49E8"/>
    <w:rsid w:val="004E4BA3"/>
    <w:rsid w:val="004E50D7"/>
    <w:rsid w:val="004E522A"/>
    <w:rsid w:val="004E5282"/>
    <w:rsid w:val="004E5CE7"/>
    <w:rsid w:val="004E5D6D"/>
    <w:rsid w:val="004E5E7C"/>
    <w:rsid w:val="004E6A7B"/>
    <w:rsid w:val="004E6E07"/>
    <w:rsid w:val="004E6E83"/>
    <w:rsid w:val="004E6FA3"/>
    <w:rsid w:val="004E7173"/>
    <w:rsid w:val="004E7353"/>
    <w:rsid w:val="004E7653"/>
    <w:rsid w:val="004F06D5"/>
    <w:rsid w:val="004F09C5"/>
    <w:rsid w:val="004F0D3D"/>
    <w:rsid w:val="004F1615"/>
    <w:rsid w:val="004F1C1A"/>
    <w:rsid w:val="004F20B9"/>
    <w:rsid w:val="004F20BB"/>
    <w:rsid w:val="004F24BF"/>
    <w:rsid w:val="004F25CF"/>
    <w:rsid w:val="004F2A1E"/>
    <w:rsid w:val="004F32A3"/>
    <w:rsid w:val="004F35B6"/>
    <w:rsid w:val="004F38A0"/>
    <w:rsid w:val="004F4140"/>
    <w:rsid w:val="004F448F"/>
    <w:rsid w:val="004F453E"/>
    <w:rsid w:val="004F4590"/>
    <w:rsid w:val="004F4737"/>
    <w:rsid w:val="004F500F"/>
    <w:rsid w:val="004F56D6"/>
    <w:rsid w:val="004F5CC1"/>
    <w:rsid w:val="004F5E01"/>
    <w:rsid w:val="004F61EB"/>
    <w:rsid w:val="004F67FA"/>
    <w:rsid w:val="004F6A8E"/>
    <w:rsid w:val="004F6CB4"/>
    <w:rsid w:val="004F6E07"/>
    <w:rsid w:val="004F72BD"/>
    <w:rsid w:val="004F77CF"/>
    <w:rsid w:val="004F7E3E"/>
    <w:rsid w:val="005009CD"/>
    <w:rsid w:val="00501459"/>
    <w:rsid w:val="00501B7A"/>
    <w:rsid w:val="005025D8"/>
    <w:rsid w:val="005033B4"/>
    <w:rsid w:val="005035E6"/>
    <w:rsid w:val="00503A51"/>
    <w:rsid w:val="00503DA3"/>
    <w:rsid w:val="005047DA"/>
    <w:rsid w:val="005053B6"/>
    <w:rsid w:val="005059EE"/>
    <w:rsid w:val="00505C16"/>
    <w:rsid w:val="005068ED"/>
    <w:rsid w:val="00506E6B"/>
    <w:rsid w:val="00507688"/>
    <w:rsid w:val="00507712"/>
    <w:rsid w:val="00507C54"/>
    <w:rsid w:val="00510A18"/>
    <w:rsid w:val="00510FE3"/>
    <w:rsid w:val="00511B0A"/>
    <w:rsid w:val="00512256"/>
    <w:rsid w:val="00512500"/>
    <w:rsid w:val="00512542"/>
    <w:rsid w:val="00512A04"/>
    <w:rsid w:val="00513B0F"/>
    <w:rsid w:val="00513BDA"/>
    <w:rsid w:val="005145CE"/>
    <w:rsid w:val="0051490B"/>
    <w:rsid w:val="005158D8"/>
    <w:rsid w:val="00515BF6"/>
    <w:rsid w:val="00516996"/>
    <w:rsid w:val="0051785E"/>
    <w:rsid w:val="005205EB"/>
    <w:rsid w:val="0052075A"/>
    <w:rsid w:val="00520A1B"/>
    <w:rsid w:val="00521063"/>
    <w:rsid w:val="0052129E"/>
    <w:rsid w:val="005213B1"/>
    <w:rsid w:val="005214D0"/>
    <w:rsid w:val="0052177A"/>
    <w:rsid w:val="00521C78"/>
    <w:rsid w:val="00522775"/>
    <w:rsid w:val="00522D6D"/>
    <w:rsid w:val="0052304F"/>
    <w:rsid w:val="00523680"/>
    <w:rsid w:val="00524362"/>
    <w:rsid w:val="005246F8"/>
    <w:rsid w:val="00524E41"/>
    <w:rsid w:val="00525514"/>
    <w:rsid w:val="0052578D"/>
    <w:rsid w:val="00525895"/>
    <w:rsid w:val="00525CFC"/>
    <w:rsid w:val="00525FD5"/>
    <w:rsid w:val="005263B7"/>
    <w:rsid w:val="005264B4"/>
    <w:rsid w:val="00526AB7"/>
    <w:rsid w:val="00526D58"/>
    <w:rsid w:val="005302E1"/>
    <w:rsid w:val="0053066C"/>
    <w:rsid w:val="0053098E"/>
    <w:rsid w:val="00531CD8"/>
    <w:rsid w:val="0053238B"/>
    <w:rsid w:val="0053241F"/>
    <w:rsid w:val="0053252A"/>
    <w:rsid w:val="00533532"/>
    <w:rsid w:val="00533914"/>
    <w:rsid w:val="00533A91"/>
    <w:rsid w:val="00533E13"/>
    <w:rsid w:val="005344C7"/>
    <w:rsid w:val="00534561"/>
    <w:rsid w:val="00535D29"/>
    <w:rsid w:val="0053607C"/>
    <w:rsid w:val="00536771"/>
    <w:rsid w:val="005374AF"/>
    <w:rsid w:val="0054012A"/>
    <w:rsid w:val="005407C9"/>
    <w:rsid w:val="0054094E"/>
    <w:rsid w:val="005410C5"/>
    <w:rsid w:val="0054121F"/>
    <w:rsid w:val="0054149C"/>
    <w:rsid w:val="00541F09"/>
    <w:rsid w:val="00542A0F"/>
    <w:rsid w:val="00542A10"/>
    <w:rsid w:val="00542F99"/>
    <w:rsid w:val="00543101"/>
    <w:rsid w:val="005433A7"/>
    <w:rsid w:val="0054345A"/>
    <w:rsid w:val="0054395A"/>
    <w:rsid w:val="00544BF5"/>
    <w:rsid w:val="005455E9"/>
    <w:rsid w:val="00545C55"/>
    <w:rsid w:val="00546412"/>
    <w:rsid w:val="0054648A"/>
    <w:rsid w:val="00546687"/>
    <w:rsid w:val="005467D4"/>
    <w:rsid w:val="00546904"/>
    <w:rsid w:val="00546A99"/>
    <w:rsid w:val="00546B66"/>
    <w:rsid w:val="00546B69"/>
    <w:rsid w:val="00546F41"/>
    <w:rsid w:val="00547411"/>
    <w:rsid w:val="0055062C"/>
    <w:rsid w:val="00550A88"/>
    <w:rsid w:val="00550F8D"/>
    <w:rsid w:val="005514F5"/>
    <w:rsid w:val="00551A34"/>
    <w:rsid w:val="00551C0A"/>
    <w:rsid w:val="00551D99"/>
    <w:rsid w:val="00552757"/>
    <w:rsid w:val="005528AD"/>
    <w:rsid w:val="00552B86"/>
    <w:rsid w:val="00552C24"/>
    <w:rsid w:val="0055397B"/>
    <w:rsid w:val="00553F27"/>
    <w:rsid w:val="005541B1"/>
    <w:rsid w:val="00554EE7"/>
    <w:rsid w:val="00554F14"/>
    <w:rsid w:val="00554FF3"/>
    <w:rsid w:val="00555303"/>
    <w:rsid w:val="00555589"/>
    <w:rsid w:val="00556350"/>
    <w:rsid w:val="00557381"/>
    <w:rsid w:val="0055761C"/>
    <w:rsid w:val="005576CB"/>
    <w:rsid w:val="00561D1F"/>
    <w:rsid w:val="00562235"/>
    <w:rsid w:val="005625E6"/>
    <w:rsid w:val="00562616"/>
    <w:rsid w:val="00562DA5"/>
    <w:rsid w:val="00563264"/>
    <w:rsid w:val="005636D7"/>
    <w:rsid w:val="00565565"/>
    <w:rsid w:val="00565E56"/>
    <w:rsid w:val="00565E92"/>
    <w:rsid w:val="00565F06"/>
    <w:rsid w:val="00566A16"/>
    <w:rsid w:val="00566F94"/>
    <w:rsid w:val="00567B02"/>
    <w:rsid w:val="00567D65"/>
    <w:rsid w:val="00567DC3"/>
    <w:rsid w:val="00570812"/>
    <w:rsid w:val="0057114E"/>
    <w:rsid w:val="00571245"/>
    <w:rsid w:val="005726DB"/>
    <w:rsid w:val="00572923"/>
    <w:rsid w:val="00572931"/>
    <w:rsid w:val="00573278"/>
    <w:rsid w:val="0057361B"/>
    <w:rsid w:val="00573685"/>
    <w:rsid w:val="00573AB8"/>
    <w:rsid w:val="00573D90"/>
    <w:rsid w:val="00573E6A"/>
    <w:rsid w:val="00574425"/>
    <w:rsid w:val="00574BFD"/>
    <w:rsid w:val="00576131"/>
    <w:rsid w:val="00576831"/>
    <w:rsid w:val="005770D9"/>
    <w:rsid w:val="005772B6"/>
    <w:rsid w:val="005775BC"/>
    <w:rsid w:val="00577A5C"/>
    <w:rsid w:val="005801C3"/>
    <w:rsid w:val="00581267"/>
    <w:rsid w:val="005815F1"/>
    <w:rsid w:val="00581E0E"/>
    <w:rsid w:val="00582D80"/>
    <w:rsid w:val="00583C44"/>
    <w:rsid w:val="00584563"/>
    <w:rsid w:val="00584F4D"/>
    <w:rsid w:val="00584F4E"/>
    <w:rsid w:val="00585A03"/>
    <w:rsid w:val="00585A8D"/>
    <w:rsid w:val="005871A5"/>
    <w:rsid w:val="0058720E"/>
    <w:rsid w:val="005904B2"/>
    <w:rsid w:val="005904DA"/>
    <w:rsid w:val="0059069C"/>
    <w:rsid w:val="005906C2"/>
    <w:rsid w:val="00590CCF"/>
    <w:rsid w:val="00590D11"/>
    <w:rsid w:val="00590FCC"/>
    <w:rsid w:val="005917D6"/>
    <w:rsid w:val="0059226F"/>
    <w:rsid w:val="00592747"/>
    <w:rsid w:val="005931E9"/>
    <w:rsid w:val="00593B67"/>
    <w:rsid w:val="00593CFB"/>
    <w:rsid w:val="00594665"/>
    <w:rsid w:val="00594F9C"/>
    <w:rsid w:val="00594FE3"/>
    <w:rsid w:val="005953CE"/>
    <w:rsid w:val="005958EE"/>
    <w:rsid w:val="005959B3"/>
    <w:rsid w:val="00595D43"/>
    <w:rsid w:val="00595FB3"/>
    <w:rsid w:val="00596B6B"/>
    <w:rsid w:val="005A11EB"/>
    <w:rsid w:val="005A1578"/>
    <w:rsid w:val="005A24FA"/>
    <w:rsid w:val="005A27A6"/>
    <w:rsid w:val="005A2952"/>
    <w:rsid w:val="005A29C8"/>
    <w:rsid w:val="005A2DAD"/>
    <w:rsid w:val="005A301A"/>
    <w:rsid w:val="005A3025"/>
    <w:rsid w:val="005A3380"/>
    <w:rsid w:val="005A38C7"/>
    <w:rsid w:val="005A51DC"/>
    <w:rsid w:val="005A5444"/>
    <w:rsid w:val="005A580A"/>
    <w:rsid w:val="005A5A8C"/>
    <w:rsid w:val="005A5D20"/>
    <w:rsid w:val="005A5F40"/>
    <w:rsid w:val="005A6777"/>
    <w:rsid w:val="005A7985"/>
    <w:rsid w:val="005A7B8D"/>
    <w:rsid w:val="005B0147"/>
    <w:rsid w:val="005B0DA9"/>
    <w:rsid w:val="005B1492"/>
    <w:rsid w:val="005B1615"/>
    <w:rsid w:val="005B1688"/>
    <w:rsid w:val="005B1841"/>
    <w:rsid w:val="005B19B8"/>
    <w:rsid w:val="005B1BF8"/>
    <w:rsid w:val="005B1F6B"/>
    <w:rsid w:val="005B2400"/>
    <w:rsid w:val="005B26F6"/>
    <w:rsid w:val="005B2919"/>
    <w:rsid w:val="005B2B80"/>
    <w:rsid w:val="005B320C"/>
    <w:rsid w:val="005B347A"/>
    <w:rsid w:val="005B352B"/>
    <w:rsid w:val="005B41AA"/>
    <w:rsid w:val="005B4362"/>
    <w:rsid w:val="005B52E2"/>
    <w:rsid w:val="005B596E"/>
    <w:rsid w:val="005B5B1D"/>
    <w:rsid w:val="005B5F36"/>
    <w:rsid w:val="005B6634"/>
    <w:rsid w:val="005B673A"/>
    <w:rsid w:val="005B72F5"/>
    <w:rsid w:val="005B7BA1"/>
    <w:rsid w:val="005C1256"/>
    <w:rsid w:val="005C1645"/>
    <w:rsid w:val="005C17A1"/>
    <w:rsid w:val="005C1C39"/>
    <w:rsid w:val="005C1E60"/>
    <w:rsid w:val="005C1EE4"/>
    <w:rsid w:val="005C2050"/>
    <w:rsid w:val="005C2785"/>
    <w:rsid w:val="005C2CF1"/>
    <w:rsid w:val="005C310D"/>
    <w:rsid w:val="005C3816"/>
    <w:rsid w:val="005C39F7"/>
    <w:rsid w:val="005C3A69"/>
    <w:rsid w:val="005C3B9E"/>
    <w:rsid w:val="005C3BD3"/>
    <w:rsid w:val="005C42A2"/>
    <w:rsid w:val="005C4953"/>
    <w:rsid w:val="005C530F"/>
    <w:rsid w:val="005C607C"/>
    <w:rsid w:val="005C76F5"/>
    <w:rsid w:val="005C7B0C"/>
    <w:rsid w:val="005C7F4C"/>
    <w:rsid w:val="005D077F"/>
    <w:rsid w:val="005D0C52"/>
    <w:rsid w:val="005D0D2C"/>
    <w:rsid w:val="005D2590"/>
    <w:rsid w:val="005D3220"/>
    <w:rsid w:val="005D3823"/>
    <w:rsid w:val="005D3AC1"/>
    <w:rsid w:val="005D45E9"/>
    <w:rsid w:val="005D4EFD"/>
    <w:rsid w:val="005D4F9C"/>
    <w:rsid w:val="005D5371"/>
    <w:rsid w:val="005D5A48"/>
    <w:rsid w:val="005D5D40"/>
    <w:rsid w:val="005D5ED3"/>
    <w:rsid w:val="005D5F56"/>
    <w:rsid w:val="005D6116"/>
    <w:rsid w:val="005D643F"/>
    <w:rsid w:val="005D677D"/>
    <w:rsid w:val="005D683C"/>
    <w:rsid w:val="005D6C41"/>
    <w:rsid w:val="005D6DD0"/>
    <w:rsid w:val="005D7272"/>
    <w:rsid w:val="005D7F44"/>
    <w:rsid w:val="005E0A6E"/>
    <w:rsid w:val="005E0E8B"/>
    <w:rsid w:val="005E108E"/>
    <w:rsid w:val="005E166A"/>
    <w:rsid w:val="005E1E50"/>
    <w:rsid w:val="005E20FA"/>
    <w:rsid w:val="005E256F"/>
    <w:rsid w:val="005E2B56"/>
    <w:rsid w:val="005E2D39"/>
    <w:rsid w:val="005E330E"/>
    <w:rsid w:val="005E382F"/>
    <w:rsid w:val="005E3833"/>
    <w:rsid w:val="005E3C0F"/>
    <w:rsid w:val="005E3C84"/>
    <w:rsid w:val="005E3D1E"/>
    <w:rsid w:val="005E5AD5"/>
    <w:rsid w:val="005E5CBA"/>
    <w:rsid w:val="005E6480"/>
    <w:rsid w:val="005E68C3"/>
    <w:rsid w:val="005E6A0B"/>
    <w:rsid w:val="005E6A0C"/>
    <w:rsid w:val="005E6BAB"/>
    <w:rsid w:val="005F0D81"/>
    <w:rsid w:val="005F11CD"/>
    <w:rsid w:val="005F148C"/>
    <w:rsid w:val="005F16B4"/>
    <w:rsid w:val="005F17C6"/>
    <w:rsid w:val="005F19AE"/>
    <w:rsid w:val="005F1CB4"/>
    <w:rsid w:val="005F24F4"/>
    <w:rsid w:val="005F310F"/>
    <w:rsid w:val="005F3158"/>
    <w:rsid w:val="005F3922"/>
    <w:rsid w:val="005F415D"/>
    <w:rsid w:val="005F5241"/>
    <w:rsid w:val="005F6262"/>
    <w:rsid w:val="005F6B73"/>
    <w:rsid w:val="005F6C2B"/>
    <w:rsid w:val="005F6D3E"/>
    <w:rsid w:val="005F7020"/>
    <w:rsid w:val="005F713A"/>
    <w:rsid w:val="005F72E0"/>
    <w:rsid w:val="005F7795"/>
    <w:rsid w:val="005F7EAD"/>
    <w:rsid w:val="006013D4"/>
    <w:rsid w:val="0060191A"/>
    <w:rsid w:val="006021C4"/>
    <w:rsid w:val="0060242E"/>
    <w:rsid w:val="00602ABE"/>
    <w:rsid w:val="00602B0D"/>
    <w:rsid w:val="0060363F"/>
    <w:rsid w:val="00604018"/>
    <w:rsid w:val="006044D3"/>
    <w:rsid w:val="006047F6"/>
    <w:rsid w:val="00604BE4"/>
    <w:rsid w:val="006050C3"/>
    <w:rsid w:val="006057C3"/>
    <w:rsid w:val="00606682"/>
    <w:rsid w:val="0060700D"/>
    <w:rsid w:val="00607314"/>
    <w:rsid w:val="00607AF4"/>
    <w:rsid w:val="0061042A"/>
    <w:rsid w:val="00610FA6"/>
    <w:rsid w:val="00611467"/>
    <w:rsid w:val="006114A4"/>
    <w:rsid w:val="00611BB3"/>
    <w:rsid w:val="00611E1F"/>
    <w:rsid w:val="0061266F"/>
    <w:rsid w:val="00612A78"/>
    <w:rsid w:val="00613269"/>
    <w:rsid w:val="00614044"/>
    <w:rsid w:val="00614269"/>
    <w:rsid w:val="006148F5"/>
    <w:rsid w:val="00614D18"/>
    <w:rsid w:val="0061587A"/>
    <w:rsid w:val="00615FA2"/>
    <w:rsid w:val="0061621B"/>
    <w:rsid w:val="0061660A"/>
    <w:rsid w:val="006166BD"/>
    <w:rsid w:val="00616DC7"/>
    <w:rsid w:val="00616ED6"/>
    <w:rsid w:val="0061717F"/>
    <w:rsid w:val="00617FD6"/>
    <w:rsid w:val="0062013C"/>
    <w:rsid w:val="006204C1"/>
    <w:rsid w:val="006204CC"/>
    <w:rsid w:val="006206CA"/>
    <w:rsid w:val="0062088E"/>
    <w:rsid w:val="00621199"/>
    <w:rsid w:val="00621EB7"/>
    <w:rsid w:val="00622158"/>
    <w:rsid w:val="0062218F"/>
    <w:rsid w:val="006221C6"/>
    <w:rsid w:val="006225A1"/>
    <w:rsid w:val="00622847"/>
    <w:rsid w:val="00622990"/>
    <w:rsid w:val="00623EF2"/>
    <w:rsid w:val="006248DE"/>
    <w:rsid w:val="00624A45"/>
    <w:rsid w:val="00625092"/>
    <w:rsid w:val="006252E5"/>
    <w:rsid w:val="00625D91"/>
    <w:rsid w:val="00626AD9"/>
    <w:rsid w:val="00627023"/>
    <w:rsid w:val="006279E1"/>
    <w:rsid w:val="0063004D"/>
    <w:rsid w:val="006302C9"/>
    <w:rsid w:val="00630786"/>
    <w:rsid w:val="00630F2C"/>
    <w:rsid w:val="006316F1"/>
    <w:rsid w:val="006322BA"/>
    <w:rsid w:val="006329CD"/>
    <w:rsid w:val="00633266"/>
    <w:rsid w:val="00633B42"/>
    <w:rsid w:val="00633C33"/>
    <w:rsid w:val="00633E99"/>
    <w:rsid w:val="006346A5"/>
    <w:rsid w:val="0063586E"/>
    <w:rsid w:val="00636D19"/>
    <w:rsid w:val="00636F8F"/>
    <w:rsid w:val="0063774F"/>
    <w:rsid w:val="0063785E"/>
    <w:rsid w:val="0064039D"/>
    <w:rsid w:val="006403AC"/>
    <w:rsid w:val="00640DBE"/>
    <w:rsid w:val="00641502"/>
    <w:rsid w:val="00641AFE"/>
    <w:rsid w:val="00641C68"/>
    <w:rsid w:val="00641D27"/>
    <w:rsid w:val="00642F74"/>
    <w:rsid w:val="0064304E"/>
    <w:rsid w:val="006430AC"/>
    <w:rsid w:val="006430E6"/>
    <w:rsid w:val="006430F3"/>
    <w:rsid w:val="00643155"/>
    <w:rsid w:val="006433EC"/>
    <w:rsid w:val="006438D3"/>
    <w:rsid w:val="00643CF7"/>
    <w:rsid w:val="006442A7"/>
    <w:rsid w:val="0064494C"/>
    <w:rsid w:val="00644E85"/>
    <w:rsid w:val="006450DA"/>
    <w:rsid w:val="006456EF"/>
    <w:rsid w:val="006459A8"/>
    <w:rsid w:val="0064603C"/>
    <w:rsid w:val="0064630D"/>
    <w:rsid w:val="0064679F"/>
    <w:rsid w:val="0064700C"/>
    <w:rsid w:val="00647340"/>
    <w:rsid w:val="00647811"/>
    <w:rsid w:val="00647D91"/>
    <w:rsid w:val="00650452"/>
    <w:rsid w:val="00651531"/>
    <w:rsid w:val="00652B6C"/>
    <w:rsid w:val="00652E76"/>
    <w:rsid w:val="00653A2D"/>
    <w:rsid w:val="00653A39"/>
    <w:rsid w:val="00653D32"/>
    <w:rsid w:val="006541E5"/>
    <w:rsid w:val="00654552"/>
    <w:rsid w:val="00654BF3"/>
    <w:rsid w:val="00655EA3"/>
    <w:rsid w:val="006561A2"/>
    <w:rsid w:val="006570F4"/>
    <w:rsid w:val="00657909"/>
    <w:rsid w:val="00660295"/>
    <w:rsid w:val="00660E1F"/>
    <w:rsid w:val="00661282"/>
    <w:rsid w:val="006612FF"/>
    <w:rsid w:val="00661C5D"/>
    <w:rsid w:val="006625A8"/>
    <w:rsid w:val="0066298A"/>
    <w:rsid w:val="00662B2E"/>
    <w:rsid w:val="00662CA7"/>
    <w:rsid w:val="00662D31"/>
    <w:rsid w:val="00663901"/>
    <w:rsid w:val="00663E24"/>
    <w:rsid w:val="00664763"/>
    <w:rsid w:val="00665B44"/>
    <w:rsid w:val="006668EC"/>
    <w:rsid w:val="00666BE9"/>
    <w:rsid w:val="00666EE0"/>
    <w:rsid w:val="00667521"/>
    <w:rsid w:val="006679AF"/>
    <w:rsid w:val="00670737"/>
    <w:rsid w:val="00671770"/>
    <w:rsid w:val="00671CB2"/>
    <w:rsid w:val="00672044"/>
    <w:rsid w:val="006726E5"/>
    <w:rsid w:val="006728BE"/>
    <w:rsid w:val="00672B0E"/>
    <w:rsid w:val="00673A14"/>
    <w:rsid w:val="00673B34"/>
    <w:rsid w:val="006743D0"/>
    <w:rsid w:val="006747FD"/>
    <w:rsid w:val="00674964"/>
    <w:rsid w:val="00674B8B"/>
    <w:rsid w:val="00674E90"/>
    <w:rsid w:val="00674F47"/>
    <w:rsid w:val="006751A5"/>
    <w:rsid w:val="006752E3"/>
    <w:rsid w:val="0067530D"/>
    <w:rsid w:val="006754C8"/>
    <w:rsid w:val="006757C3"/>
    <w:rsid w:val="00675B8E"/>
    <w:rsid w:val="00676956"/>
    <w:rsid w:val="00677361"/>
    <w:rsid w:val="006773DB"/>
    <w:rsid w:val="00677BBC"/>
    <w:rsid w:val="00677E76"/>
    <w:rsid w:val="006806C3"/>
    <w:rsid w:val="0068143D"/>
    <w:rsid w:val="006816FB"/>
    <w:rsid w:val="00681E60"/>
    <w:rsid w:val="00681F27"/>
    <w:rsid w:val="00681F87"/>
    <w:rsid w:val="00682711"/>
    <w:rsid w:val="00682A38"/>
    <w:rsid w:val="00682F17"/>
    <w:rsid w:val="00682F7E"/>
    <w:rsid w:val="00683500"/>
    <w:rsid w:val="006838EF"/>
    <w:rsid w:val="00684184"/>
    <w:rsid w:val="006841A5"/>
    <w:rsid w:val="006845FD"/>
    <w:rsid w:val="00684CA4"/>
    <w:rsid w:val="006853A1"/>
    <w:rsid w:val="006856E6"/>
    <w:rsid w:val="006861D7"/>
    <w:rsid w:val="00686593"/>
    <w:rsid w:val="00686E8F"/>
    <w:rsid w:val="00686F50"/>
    <w:rsid w:val="00687633"/>
    <w:rsid w:val="0069036F"/>
    <w:rsid w:val="00690C48"/>
    <w:rsid w:val="00690CE7"/>
    <w:rsid w:val="00691A7E"/>
    <w:rsid w:val="00691D36"/>
    <w:rsid w:val="006921D0"/>
    <w:rsid w:val="00692703"/>
    <w:rsid w:val="00692E18"/>
    <w:rsid w:val="00693101"/>
    <w:rsid w:val="00693BBB"/>
    <w:rsid w:val="00694ACE"/>
    <w:rsid w:val="00697182"/>
    <w:rsid w:val="0069757A"/>
    <w:rsid w:val="006978DD"/>
    <w:rsid w:val="006A000B"/>
    <w:rsid w:val="006A07CE"/>
    <w:rsid w:val="006A1245"/>
    <w:rsid w:val="006A15EA"/>
    <w:rsid w:val="006A1828"/>
    <w:rsid w:val="006A1D0F"/>
    <w:rsid w:val="006A1F6A"/>
    <w:rsid w:val="006A210F"/>
    <w:rsid w:val="006A341E"/>
    <w:rsid w:val="006A39AB"/>
    <w:rsid w:val="006A5155"/>
    <w:rsid w:val="006A6008"/>
    <w:rsid w:val="006A614A"/>
    <w:rsid w:val="006A6214"/>
    <w:rsid w:val="006A62AC"/>
    <w:rsid w:val="006A6443"/>
    <w:rsid w:val="006A66FE"/>
    <w:rsid w:val="006A6C52"/>
    <w:rsid w:val="006A7187"/>
    <w:rsid w:val="006A7350"/>
    <w:rsid w:val="006A7394"/>
    <w:rsid w:val="006A7E5B"/>
    <w:rsid w:val="006B0286"/>
    <w:rsid w:val="006B0CD3"/>
    <w:rsid w:val="006B0D89"/>
    <w:rsid w:val="006B101B"/>
    <w:rsid w:val="006B11D2"/>
    <w:rsid w:val="006B17DC"/>
    <w:rsid w:val="006B26AD"/>
    <w:rsid w:val="006B3B34"/>
    <w:rsid w:val="006B47B1"/>
    <w:rsid w:val="006B4D25"/>
    <w:rsid w:val="006B4EFC"/>
    <w:rsid w:val="006B4FA8"/>
    <w:rsid w:val="006B5133"/>
    <w:rsid w:val="006B5762"/>
    <w:rsid w:val="006B67E6"/>
    <w:rsid w:val="006B7035"/>
    <w:rsid w:val="006B7526"/>
    <w:rsid w:val="006B762D"/>
    <w:rsid w:val="006B7C31"/>
    <w:rsid w:val="006B7D51"/>
    <w:rsid w:val="006C02D1"/>
    <w:rsid w:val="006C0A0F"/>
    <w:rsid w:val="006C1163"/>
    <w:rsid w:val="006C2194"/>
    <w:rsid w:val="006C2418"/>
    <w:rsid w:val="006C2A48"/>
    <w:rsid w:val="006C2D86"/>
    <w:rsid w:val="006C329E"/>
    <w:rsid w:val="006C3317"/>
    <w:rsid w:val="006C34E5"/>
    <w:rsid w:val="006C401D"/>
    <w:rsid w:val="006C557F"/>
    <w:rsid w:val="006C569C"/>
    <w:rsid w:val="006C5891"/>
    <w:rsid w:val="006C6539"/>
    <w:rsid w:val="006D0021"/>
    <w:rsid w:val="006D16C9"/>
    <w:rsid w:val="006D17E2"/>
    <w:rsid w:val="006D2298"/>
    <w:rsid w:val="006D2ACF"/>
    <w:rsid w:val="006D3FCE"/>
    <w:rsid w:val="006D4448"/>
    <w:rsid w:val="006D44A1"/>
    <w:rsid w:val="006D4B01"/>
    <w:rsid w:val="006D5312"/>
    <w:rsid w:val="006D567E"/>
    <w:rsid w:val="006D5819"/>
    <w:rsid w:val="006D60A8"/>
    <w:rsid w:val="006D627A"/>
    <w:rsid w:val="006D64A9"/>
    <w:rsid w:val="006D68B9"/>
    <w:rsid w:val="006D6F0F"/>
    <w:rsid w:val="006D720B"/>
    <w:rsid w:val="006D7366"/>
    <w:rsid w:val="006D7611"/>
    <w:rsid w:val="006D789A"/>
    <w:rsid w:val="006D78EF"/>
    <w:rsid w:val="006E0265"/>
    <w:rsid w:val="006E029B"/>
    <w:rsid w:val="006E04A0"/>
    <w:rsid w:val="006E0AD5"/>
    <w:rsid w:val="006E0B96"/>
    <w:rsid w:val="006E0D4F"/>
    <w:rsid w:val="006E130C"/>
    <w:rsid w:val="006E197F"/>
    <w:rsid w:val="006E1B10"/>
    <w:rsid w:val="006E1C7A"/>
    <w:rsid w:val="006E1CA6"/>
    <w:rsid w:val="006E227D"/>
    <w:rsid w:val="006E291D"/>
    <w:rsid w:val="006E29B6"/>
    <w:rsid w:val="006E2CE8"/>
    <w:rsid w:val="006E2EB7"/>
    <w:rsid w:val="006E3A20"/>
    <w:rsid w:val="006E4327"/>
    <w:rsid w:val="006E4852"/>
    <w:rsid w:val="006E4DDB"/>
    <w:rsid w:val="006E5063"/>
    <w:rsid w:val="006E5464"/>
    <w:rsid w:val="006E5747"/>
    <w:rsid w:val="006E5984"/>
    <w:rsid w:val="006E5F99"/>
    <w:rsid w:val="006E60BF"/>
    <w:rsid w:val="006E6482"/>
    <w:rsid w:val="006E6D41"/>
    <w:rsid w:val="006E744C"/>
    <w:rsid w:val="006E74DD"/>
    <w:rsid w:val="006E781C"/>
    <w:rsid w:val="006E7DF6"/>
    <w:rsid w:val="006F1145"/>
    <w:rsid w:val="006F1ACD"/>
    <w:rsid w:val="006F1F5D"/>
    <w:rsid w:val="006F20ED"/>
    <w:rsid w:val="006F25CD"/>
    <w:rsid w:val="006F312F"/>
    <w:rsid w:val="006F3E6D"/>
    <w:rsid w:val="006F417B"/>
    <w:rsid w:val="006F4565"/>
    <w:rsid w:val="006F45CC"/>
    <w:rsid w:val="006F4973"/>
    <w:rsid w:val="006F498D"/>
    <w:rsid w:val="006F54DD"/>
    <w:rsid w:val="006F5718"/>
    <w:rsid w:val="006F6BE5"/>
    <w:rsid w:val="006F6DF5"/>
    <w:rsid w:val="006F6E9F"/>
    <w:rsid w:val="006F727D"/>
    <w:rsid w:val="006F77F6"/>
    <w:rsid w:val="006F7EC2"/>
    <w:rsid w:val="006F7FDE"/>
    <w:rsid w:val="00700156"/>
    <w:rsid w:val="007002ED"/>
    <w:rsid w:val="00700870"/>
    <w:rsid w:val="00700E0A"/>
    <w:rsid w:val="00701598"/>
    <w:rsid w:val="007019D7"/>
    <w:rsid w:val="00701B76"/>
    <w:rsid w:val="00701BD0"/>
    <w:rsid w:val="00701FAE"/>
    <w:rsid w:val="00701FF3"/>
    <w:rsid w:val="0070204D"/>
    <w:rsid w:val="00702313"/>
    <w:rsid w:val="00702488"/>
    <w:rsid w:val="00702DE4"/>
    <w:rsid w:val="00702E3F"/>
    <w:rsid w:val="00702EEC"/>
    <w:rsid w:val="00703018"/>
    <w:rsid w:val="00703265"/>
    <w:rsid w:val="007038BA"/>
    <w:rsid w:val="00703970"/>
    <w:rsid w:val="00703CFE"/>
    <w:rsid w:val="007043F7"/>
    <w:rsid w:val="007047E9"/>
    <w:rsid w:val="007048BC"/>
    <w:rsid w:val="007050EE"/>
    <w:rsid w:val="007051CE"/>
    <w:rsid w:val="00705831"/>
    <w:rsid w:val="007059B2"/>
    <w:rsid w:val="00705E0B"/>
    <w:rsid w:val="0070677A"/>
    <w:rsid w:val="00706B43"/>
    <w:rsid w:val="007075BB"/>
    <w:rsid w:val="00707882"/>
    <w:rsid w:val="00707AFC"/>
    <w:rsid w:val="00710387"/>
    <w:rsid w:val="0071049B"/>
    <w:rsid w:val="00710DA4"/>
    <w:rsid w:val="0071108F"/>
    <w:rsid w:val="0071133B"/>
    <w:rsid w:val="0071156E"/>
    <w:rsid w:val="00711632"/>
    <w:rsid w:val="00711E66"/>
    <w:rsid w:val="00711FF1"/>
    <w:rsid w:val="0071270F"/>
    <w:rsid w:val="00712AF7"/>
    <w:rsid w:val="007131AB"/>
    <w:rsid w:val="00713BC5"/>
    <w:rsid w:val="00713DD2"/>
    <w:rsid w:val="007142B6"/>
    <w:rsid w:val="007144D7"/>
    <w:rsid w:val="00715E6F"/>
    <w:rsid w:val="00715EC8"/>
    <w:rsid w:val="00716C7B"/>
    <w:rsid w:val="007171E8"/>
    <w:rsid w:val="0071768B"/>
    <w:rsid w:val="00717E09"/>
    <w:rsid w:val="00721631"/>
    <w:rsid w:val="00721778"/>
    <w:rsid w:val="0072190F"/>
    <w:rsid w:val="00721916"/>
    <w:rsid w:val="0072229D"/>
    <w:rsid w:val="007222D2"/>
    <w:rsid w:val="0072237F"/>
    <w:rsid w:val="0072241B"/>
    <w:rsid w:val="00722BF3"/>
    <w:rsid w:val="00722D37"/>
    <w:rsid w:val="00722FCD"/>
    <w:rsid w:val="0072336F"/>
    <w:rsid w:val="00723CA3"/>
    <w:rsid w:val="0072462B"/>
    <w:rsid w:val="007248F3"/>
    <w:rsid w:val="00724E1B"/>
    <w:rsid w:val="00724ED4"/>
    <w:rsid w:val="007251C7"/>
    <w:rsid w:val="00725CA8"/>
    <w:rsid w:val="00725EA3"/>
    <w:rsid w:val="00725FB9"/>
    <w:rsid w:val="007263FD"/>
    <w:rsid w:val="007304C0"/>
    <w:rsid w:val="00730615"/>
    <w:rsid w:val="007306F0"/>
    <w:rsid w:val="007308CB"/>
    <w:rsid w:val="007309F3"/>
    <w:rsid w:val="00730B62"/>
    <w:rsid w:val="007322E4"/>
    <w:rsid w:val="007331CB"/>
    <w:rsid w:val="00733421"/>
    <w:rsid w:val="00733A1B"/>
    <w:rsid w:val="00733A2A"/>
    <w:rsid w:val="00733B67"/>
    <w:rsid w:val="00733F77"/>
    <w:rsid w:val="00733FC0"/>
    <w:rsid w:val="007344C0"/>
    <w:rsid w:val="00734507"/>
    <w:rsid w:val="00734BB8"/>
    <w:rsid w:val="00735EB3"/>
    <w:rsid w:val="00735FC3"/>
    <w:rsid w:val="007366B1"/>
    <w:rsid w:val="0073696F"/>
    <w:rsid w:val="00736A00"/>
    <w:rsid w:val="00736F07"/>
    <w:rsid w:val="0073750A"/>
    <w:rsid w:val="00737678"/>
    <w:rsid w:val="0073772B"/>
    <w:rsid w:val="0073797C"/>
    <w:rsid w:val="00740095"/>
    <w:rsid w:val="00740411"/>
    <w:rsid w:val="007404B9"/>
    <w:rsid w:val="00740F21"/>
    <w:rsid w:val="007411E4"/>
    <w:rsid w:val="00741779"/>
    <w:rsid w:val="0074207C"/>
    <w:rsid w:val="00742C44"/>
    <w:rsid w:val="007433ED"/>
    <w:rsid w:val="0074355F"/>
    <w:rsid w:val="0074508E"/>
    <w:rsid w:val="00745280"/>
    <w:rsid w:val="0074555D"/>
    <w:rsid w:val="00745799"/>
    <w:rsid w:val="00746D1A"/>
    <w:rsid w:val="00746FBD"/>
    <w:rsid w:val="00747A65"/>
    <w:rsid w:val="00747C9A"/>
    <w:rsid w:val="00747E1D"/>
    <w:rsid w:val="0075025E"/>
    <w:rsid w:val="007504DF"/>
    <w:rsid w:val="0075079D"/>
    <w:rsid w:val="00752D2F"/>
    <w:rsid w:val="00753592"/>
    <w:rsid w:val="00753A9F"/>
    <w:rsid w:val="00753F38"/>
    <w:rsid w:val="007541B7"/>
    <w:rsid w:val="00754386"/>
    <w:rsid w:val="0075478E"/>
    <w:rsid w:val="007547FD"/>
    <w:rsid w:val="007562B2"/>
    <w:rsid w:val="0075673C"/>
    <w:rsid w:val="00756B28"/>
    <w:rsid w:val="007571E3"/>
    <w:rsid w:val="00757723"/>
    <w:rsid w:val="007600C9"/>
    <w:rsid w:val="00760138"/>
    <w:rsid w:val="00760A96"/>
    <w:rsid w:val="00760E05"/>
    <w:rsid w:val="00760EF9"/>
    <w:rsid w:val="0076206D"/>
    <w:rsid w:val="007628FC"/>
    <w:rsid w:val="00762B7C"/>
    <w:rsid w:val="00762DE1"/>
    <w:rsid w:val="00762F59"/>
    <w:rsid w:val="00763501"/>
    <w:rsid w:val="007636AE"/>
    <w:rsid w:val="00763C98"/>
    <w:rsid w:val="00764000"/>
    <w:rsid w:val="007641C0"/>
    <w:rsid w:val="00764819"/>
    <w:rsid w:val="007648E5"/>
    <w:rsid w:val="0076529E"/>
    <w:rsid w:val="00765C2A"/>
    <w:rsid w:val="00765CF2"/>
    <w:rsid w:val="00766242"/>
    <w:rsid w:val="0076635A"/>
    <w:rsid w:val="007663C6"/>
    <w:rsid w:val="00766993"/>
    <w:rsid w:val="00766EB7"/>
    <w:rsid w:val="007672A6"/>
    <w:rsid w:val="00770459"/>
    <w:rsid w:val="007707F0"/>
    <w:rsid w:val="00770E3D"/>
    <w:rsid w:val="00770F0C"/>
    <w:rsid w:val="007713E5"/>
    <w:rsid w:val="00772122"/>
    <w:rsid w:val="0077298C"/>
    <w:rsid w:val="00772B7B"/>
    <w:rsid w:val="0077309C"/>
    <w:rsid w:val="0077394D"/>
    <w:rsid w:val="00773A35"/>
    <w:rsid w:val="007740CB"/>
    <w:rsid w:val="007745BF"/>
    <w:rsid w:val="00774D77"/>
    <w:rsid w:val="00775368"/>
    <w:rsid w:val="0077646B"/>
    <w:rsid w:val="00776C47"/>
    <w:rsid w:val="00776F60"/>
    <w:rsid w:val="00776F96"/>
    <w:rsid w:val="0078013E"/>
    <w:rsid w:val="00780838"/>
    <w:rsid w:val="0078119F"/>
    <w:rsid w:val="00781ACA"/>
    <w:rsid w:val="00781F10"/>
    <w:rsid w:val="007822FC"/>
    <w:rsid w:val="0078339F"/>
    <w:rsid w:val="0078374F"/>
    <w:rsid w:val="00784506"/>
    <w:rsid w:val="00784962"/>
    <w:rsid w:val="00784A30"/>
    <w:rsid w:val="00784FAF"/>
    <w:rsid w:val="00785D1A"/>
    <w:rsid w:val="0078609E"/>
    <w:rsid w:val="00786634"/>
    <w:rsid w:val="0078672B"/>
    <w:rsid w:val="00786EE5"/>
    <w:rsid w:val="007878FE"/>
    <w:rsid w:val="00787F8F"/>
    <w:rsid w:val="007900EA"/>
    <w:rsid w:val="007904ED"/>
    <w:rsid w:val="007907A7"/>
    <w:rsid w:val="007908CC"/>
    <w:rsid w:val="00790A1C"/>
    <w:rsid w:val="007916F4"/>
    <w:rsid w:val="00791F50"/>
    <w:rsid w:val="007927F9"/>
    <w:rsid w:val="00793212"/>
    <w:rsid w:val="00793323"/>
    <w:rsid w:val="00793A5D"/>
    <w:rsid w:val="007944D4"/>
    <w:rsid w:val="0079474A"/>
    <w:rsid w:val="00794A71"/>
    <w:rsid w:val="00795230"/>
    <w:rsid w:val="00795AD0"/>
    <w:rsid w:val="00796192"/>
    <w:rsid w:val="0079679A"/>
    <w:rsid w:val="00796D90"/>
    <w:rsid w:val="00796F9E"/>
    <w:rsid w:val="0079784B"/>
    <w:rsid w:val="00797924"/>
    <w:rsid w:val="007979BE"/>
    <w:rsid w:val="007A018B"/>
    <w:rsid w:val="007A0C57"/>
    <w:rsid w:val="007A1789"/>
    <w:rsid w:val="007A1CD0"/>
    <w:rsid w:val="007A1E8B"/>
    <w:rsid w:val="007A2F49"/>
    <w:rsid w:val="007A3097"/>
    <w:rsid w:val="007A35AE"/>
    <w:rsid w:val="007A3E78"/>
    <w:rsid w:val="007A46BB"/>
    <w:rsid w:val="007A4741"/>
    <w:rsid w:val="007A49EF"/>
    <w:rsid w:val="007A5329"/>
    <w:rsid w:val="007A5A5C"/>
    <w:rsid w:val="007A6450"/>
    <w:rsid w:val="007A742C"/>
    <w:rsid w:val="007A7969"/>
    <w:rsid w:val="007A7D42"/>
    <w:rsid w:val="007A7F41"/>
    <w:rsid w:val="007B08F2"/>
    <w:rsid w:val="007B1357"/>
    <w:rsid w:val="007B162A"/>
    <w:rsid w:val="007B1F64"/>
    <w:rsid w:val="007B1F8C"/>
    <w:rsid w:val="007B1F8F"/>
    <w:rsid w:val="007B1FB1"/>
    <w:rsid w:val="007B236B"/>
    <w:rsid w:val="007B26BE"/>
    <w:rsid w:val="007B2D7D"/>
    <w:rsid w:val="007B46D5"/>
    <w:rsid w:val="007B4ABE"/>
    <w:rsid w:val="007B4E02"/>
    <w:rsid w:val="007B566B"/>
    <w:rsid w:val="007B5A69"/>
    <w:rsid w:val="007B5DAB"/>
    <w:rsid w:val="007B5DF3"/>
    <w:rsid w:val="007B5EAC"/>
    <w:rsid w:val="007B6F67"/>
    <w:rsid w:val="007B762B"/>
    <w:rsid w:val="007B76D0"/>
    <w:rsid w:val="007B77BB"/>
    <w:rsid w:val="007B7D5C"/>
    <w:rsid w:val="007B7EDF"/>
    <w:rsid w:val="007C0F53"/>
    <w:rsid w:val="007C1727"/>
    <w:rsid w:val="007C2409"/>
    <w:rsid w:val="007C2FB5"/>
    <w:rsid w:val="007C377A"/>
    <w:rsid w:val="007C44DC"/>
    <w:rsid w:val="007C4723"/>
    <w:rsid w:val="007C53D4"/>
    <w:rsid w:val="007C57ED"/>
    <w:rsid w:val="007C63EC"/>
    <w:rsid w:val="007C70FC"/>
    <w:rsid w:val="007C7107"/>
    <w:rsid w:val="007C75EA"/>
    <w:rsid w:val="007C76C7"/>
    <w:rsid w:val="007C79CB"/>
    <w:rsid w:val="007C7A70"/>
    <w:rsid w:val="007D170F"/>
    <w:rsid w:val="007D1963"/>
    <w:rsid w:val="007D20CE"/>
    <w:rsid w:val="007D22C6"/>
    <w:rsid w:val="007D230D"/>
    <w:rsid w:val="007D297D"/>
    <w:rsid w:val="007D3587"/>
    <w:rsid w:val="007D3A01"/>
    <w:rsid w:val="007D4835"/>
    <w:rsid w:val="007D51D1"/>
    <w:rsid w:val="007D529D"/>
    <w:rsid w:val="007D6A82"/>
    <w:rsid w:val="007D6EEA"/>
    <w:rsid w:val="007D7C89"/>
    <w:rsid w:val="007D7F2D"/>
    <w:rsid w:val="007E0094"/>
    <w:rsid w:val="007E0501"/>
    <w:rsid w:val="007E0642"/>
    <w:rsid w:val="007E07A5"/>
    <w:rsid w:val="007E095F"/>
    <w:rsid w:val="007E0F0A"/>
    <w:rsid w:val="007E0F0F"/>
    <w:rsid w:val="007E19CF"/>
    <w:rsid w:val="007E1AA4"/>
    <w:rsid w:val="007E1C06"/>
    <w:rsid w:val="007E22D0"/>
    <w:rsid w:val="007E2EF3"/>
    <w:rsid w:val="007E4594"/>
    <w:rsid w:val="007E4A85"/>
    <w:rsid w:val="007E4AC3"/>
    <w:rsid w:val="007E4D03"/>
    <w:rsid w:val="007E5665"/>
    <w:rsid w:val="007E5726"/>
    <w:rsid w:val="007E5823"/>
    <w:rsid w:val="007E5EDC"/>
    <w:rsid w:val="007E64B6"/>
    <w:rsid w:val="007E7549"/>
    <w:rsid w:val="007E757B"/>
    <w:rsid w:val="007E7CA3"/>
    <w:rsid w:val="007F01B4"/>
    <w:rsid w:val="007F0396"/>
    <w:rsid w:val="007F04B4"/>
    <w:rsid w:val="007F10CB"/>
    <w:rsid w:val="007F10E5"/>
    <w:rsid w:val="007F24D9"/>
    <w:rsid w:val="007F37D9"/>
    <w:rsid w:val="007F557B"/>
    <w:rsid w:val="007F60B5"/>
    <w:rsid w:val="007F69F5"/>
    <w:rsid w:val="007F6BAB"/>
    <w:rsid w:val="007F75F3"/>
    <w:rsid w:val="007F7617"/>
    <w:rsid w:val="007F7B03"/>
    <w:rsid w:val="007F7F34"/>
    <w:rsid w:val="00800162"/>
    <w:rsid w:val="00800327"/>
    <w:rsid w:val="008003B7"/>
    <w:rsid w:val="008004BB"/>
    <w:rsid w:val="00801F3C"/>
    <w:rsid w:val="00801F7C"/>
    <w:rsid w:val="00802100"/>
    <w:rsid w:val="0080234D"/>
    <w:rsid w:val="008031E8"/>
    <w:rsid w:val="008037E8"/>
    <w:rsid w:val="00803D8C"/>
    <w:rsid w:val="0080430D"/>
    <w:rsid w:val="0080447D"/>
    <w:rsid w:val="008050A1"/>
    <w:rsid w:val="00805338"/>
    <w:rsid w:val="00805567"/>
    <w:rsid w:val="00805573"/>
    <w:rsid w:val="008055C8"/>
    <w:rsid w:val="0080589A"/>
    <w:rsid w:val="00805DF7"/>
    <w:rsid w:val="00805F67"/>
    <w:rsid w:val="0080636B"/>
    <w:rsid w:val="008072A8"/>
    <w:rsid w:val="0080764C"/>
    <w:rsid w:val="00807958"/>
    <w:rsid w:val="00810006"/>
    <w:rsid w:val="00810922"/>
    <w:rsid w:val="00810A60"/>
    <w:rsid w:val="00810BE2"/>
    <w:rsid w:val="008116EC"/>
    <w:rsid w:val="00811A60"/>
    <w:rsid w:val="0081222D"/>
    <w:rsid w:val="008127E2"/>
    <w:rsid w:val="0081280A"/>
    <w:rsid w:val="008132E2"/>
    <w:rsid w:val="0081332E"/>
    <w:rsid w:val="008138C2"/>
    <w:rsid w:val="00813A7D"/>
    <w:rsid w:val="00813C62"/>
    <w:rsid w:val="0081469F"/>
    <w:rsid w:val="00814B1C"/>
    <w:rsid w:val="00814CA4"/>
    <w:rsid w:val="00815CE5"/>
    <w:rsid w:val="008160F9"/>
    <w:rsid w:val="00816547"/>
    <w:rsid w:val="008165A5"/>
    <w:rsid w:val="00816A7D"/>
    <w:rsid w:val="00816CBB"/>
    <w:rsid w:val="00816FAC"/>
    <w:rsid w:val="008173E2"/>
    <w:rsid w:val="00820019"/>
    <w:rsid w:val="008201F2"/>
    <w:rsid w:val="008213BC"/>
    <w:rsid w:val="00821B21"/>
    <w:rsid w:val="00822C04"/>
    <w:rsid w:val="00822EC7"/>
    <w:rsid w:val="00822EFE"/>
    <w:rsid w:val="008237D4"/>
    <w:rsid w:val="00823B19"/>
    <w:rsid w:val="00824377"/>
    <w:rsid w:val="00825DDA"/>
    <w:rsid w:val="008263A7"/>
    <w:rsid w:val="008268AD"/>
    <w:rsid w:val="00827403"/>
    <w:rsid w:val="008278EB"/>
    <w:rsid w:val="00827B16"/>
    <w:rsid w:val="008308F2"/>
    <w:rsid w:val="00830A16"/>
    <w:rsid w:val="00830B5E"/>
    <w:rsid w:val="00830F7B"/>
    <w:rsid w:val="0083115C"/>
    <w:rsid w:val="008323FE"/>
    <w:rsid w:val="00832943"/>
    <w:rsid w:val="0083297F"/>
    <w:rsid w:val="00833571"/>
    <w:rsid w:val="008342AA"/>
    <w:rsid w:val="00834456"/>
    <w:rsid w:val="00834678"/>
    <w:rsid w:val="008361A1"/>
    <w:rsid w:val="00836281"/>
    <w:rsid w:val="008366D9"/>
    <w:rsid w:val="00836E5B"/>
    <w:rsid w:val="0083748F"/>
    <w:rsid w:val="008376B5"/>
    <w:rsid w:val="00837CD6"/>
    <w:rsid w:val="008403A0"/>
    <w:rsid w:val="0084104F"/>
    <w:rsid w:val="008410FD"/>
    <w:rsid w:val="0084192C"/>
    <w:rsid w:val="00842132"/>
    <w:rsid w:val="00843206"/>
    <w:rsid w:val="00844149"/>
    <w:rsid w:val="0084496E"/>
    <w:rsid w:val="008449FF"/>
    <w:rsid w:val="008452DB"/>
    <w:rsid w:val="008452F1"/>
    <w:rsid w:val="008454F4"/>
    <w:rsid w:val="00845600"/>
    <w:rsid w:val="008469BC"/>
    <w:rsid w:val="00846F2B"/>
    <w:rsid w:val="00847E48"/>
    <w:rsid w:val="00850090"/>
    <w:rsid w:val="00850900"/>
    <w:rsid w:val="00850CD3"/>
    <w:rsid w:val="00851C69"/>
    <w:rsid w:val="008524D1"/>
    <w:rsid w:val="00852766"/>
    <w:rsid w:val="00852767"/>
    <w:rsid w:val="008527A5"/>
    <w:rsid w:val="00853F5F"/>
    <w:rsid w:val="00854AC0"/>
    <w:rsid w:val="00854CB3"/>
    <w:rsid w:val="00854F6E"/>
    <w:rsid w:val="008558B8"/>
    <w:rsid w:val="00855C7E"/>
    <w:rsid w:val="00855F86"/>
    <w:rsid w:val="008564C3"/>
    <w:rsid w:val="0085673D"/>
    <w:rsid w:val="0085758C"/>
    <w:rsid w:val="00857655"/>
    <w:rsid w:val="00857750"/>
    <w:rsid w:val="00857A55"/>
    <w:rsid w:val="00857A7F"/>
    <w:rsid w:val="00857BD0"/>
    <w:rsid w:val="008602BC"/>
    <w:rsid w:val="008603BA"/>
    <w:rsid w:val="0086072E"/>
    <w:rsid w:val="0086081F"/>
    <w:rsid w:val="00860FB9"/>
    <w:rsid w:val="00861895"/>
    <w:rsid w:val="00862303"/>
    <w:rsid w:val="008625A2"/>
    <w:rsid w:val="00862CD3"/>
    <w:rsid w:val="008630EA"/>
    <w:rsid w:val="00863540"/>
    <w:rsid w:val="00863795"/>
    <w:rsid w:val="00863843"/>
    <w:rsid w:val="0086405F"/>
    <w:rsid w:val="008646F1"/>
    <w:rsid w:val="008655F3"/>
    <w:rsid w:val="0086568D"/>
    <w:rsid w:val="00865CD2"/>
    <w:rsid w:val="008665F6"/>
    <w:rsid w:val="008669D2"/>
    <w:rsid w:val="00866DE8"/>
    <w:rsid w:val="00866E27"/>
    <w:rsid w:val="00867065"/>
    <w:rsid w:val="0086725F"/>
    <w:rsid w:val="00867486"/>
    <w:rsid w:val="00867DE6"/>
    <w:rsid w:val="00870C48"/>
    <w:rsid w:val="00870D87"/>
    <w:rsid w:val="00870E5B"/>
    <w:rsid w:val="00870F6B"/>
    <w:rsid w:val="00871174"/>
    <w:rsid w:val="008713DF"/>
    <w:rsid w:val="008713E6"/>
    <w:rsid w:val="00871E2A"/>
    <w:rsid w:val="00871F75"/>
    <w:rsid w:val="008722A8"/>
    <w:rsid w:val="008724B4"/>
    <w:rsid w:val="00872533"/>
    <w:rsid w:val="00872639"/>
    <w:rsid w:val="008726AE"/>
    <w:rsid w:val="00873A01"/>
    <w:rsid w:val="0087412B"/>
    <w:rsid w:val="008742F5"/>
    <w:rsid w:val="00874B4F"/>
    <w:rsid w:val="00874EAB"/>
    <w:rsid w:val="008751F6"/>
    <w:rsid w:val="00875B70"/>
    <w:rsid w:val="00876594"/>
    <w:rsid w:val="00880674"/>
    <w:rsid w:val="00882859"/>
    <w:rsid w:val="00882AE9"/>
    <w:rsid w:val="00882CBC"/>
    <w:rsid w:val="0088329B"/>
    <w:rsid w:val="008833D6"/>
    <w:rsid w:val="00883483"/>
    <w:rsid w:val="00883835"/>
    <w:rsid w:val="00883A59"/>
    <w:rsid w:val="0088409E"/>
    <w:rsid w:val="008848A2"/>
    <w:rsid w:val="00884DD5"/>
    <w:rsid w:val="008862DE"/>
    <w:rsid w:val="00886DC3"/>
    <w:rsid w:val="0088787C"/>
    <w:rsid w:val="008878E3"/>
    <w:rsid w:val="00887B2E"/>
    <w:rsid w:val="00887B89"/>
    <w:rsid w:val="0089051A"/>
    <w:rsid w:val="00890AC6"/>
    <w:rsid w:val="0089181A"/>
    <w:rsid w:val="00891831"/>
    <w:rsid w:val="0089280B"/>
    <w:rsid w:val="00893A51"/>
    <w:rsid w:val="00893D49"/>
    <w:rsid w:val="008942B6"/>
    <w:rsid w:val="008942DA"/>
    <w:rsid w:val="00894389"/>
    <w:rsid w:val="0089463F"/>
    <w:rsid w:val="0089510D"/>
    <w:rsid w:val="008955F3"/>
    <w:rsid w:val="00895AEA"/>
    <w:rsid w:val="00895FA1"/>
    <w:rsid w:val="0089613B"/>
    <w:rsid w:val="00896338"/>
    <w:rsid w:val="0089650E"/>
    <w:rsid w:val="0089675A"/>
    <w:rsid w:val="00896E67"/>
    <w:rsid w:val="0089714A"/>
    <w:rsid w:val="00897331"/>
    <w:rsid w:val="0089738B"/>
    <w:rsid w:val="0089765B"/>
    <w:rsid w:val="008978AD"/>
    <w:rsid w:val="008A036C"/>
    <w:rsid w:val="008A0745"/>
    <w:rsid w:val="008A09E6"/>
    <w:rsid w:val="008A10CC"/>
    <w:rsid w:val="008A139C"/>
    <w:rsid w:val="008A1A21"/>
    <w:rsid w:val="008A1AA9"/>
    <w:rsid w:val="008A20F1"/>
    <w:rsid w:val="008A2238"/>
    <w:rsid w:val="008A27CD"/>
    <w:rsid w:val="008A3586"/>
    <w:rsid w:val="008A3832"/>
    <w:rsid w:val="008A3C64"/>
    <w:rsid w:val="008A4CAB"/>
    <w:rsid w:val="008A4EC1"/>
    <w:rsid w:val="008A6B2C"/>
    <w:rsid w:val="008A6CDF"/>
    <w:rsid w:val="008A70FC"/>
    <w:rsid w:val="008A77FC"/>
    <w:rsid w:val="008A7AEB"/>
    <w:rsid w:val="008A7C3B"/>
    <w:rsid w:val="008A7DB5"/>
    <w:rsid w:val="008B0007"/>
    <w:rsid w:val="008B09EC"/>
    <w:rsid w:val="008B13B1"/>
    <w:rsid w:val="008B1B54"/>
    <w:rsid w:val="008B1F70"/>
    <w:rsid w:val="008B21FB"/>
    <w:rsid w:val="008B220F"/>
    <w:rsid w:val="008B2261"/>
    <w:rsid w:val="008B259D"/>
    <w:rsid w:val="008B266A"/>
    <w:rsid w:val="008B29BA"/>
    <w:rsid w:val="008B2CE0"/>
    <w:rsid w:val="008B3EC7"/>
    <w:rsid w:val="008B3FB3"/>
    <w:rsid w:val="008B402E"/>
    <w:rsid w:val="008B4214"/>
    <w:rsid w:val="008B43FC"/>
    <w:rsid w:val="008B47B1"/>
    <w:rsid w:val="008B480C"/>
    <w:rsid w:val="008B4EE8"/>
    <w:rsid w:val="008B5623"/>
    <w:rsid w:val="008B619A"/>
    <w:rsid w:val="008B6FF8"/>
    <w:rsid w:val="008B799D"/>
    <w:rsid w:val="008B7C27"/>
    <w:rsid w:val="008B7D26"/>
    <w:rsid w:val="008B7EE9"/>
    <w:rsid w:val="008C0413"/>
    <w:rsid w:val="008C0DAB"/>
    <w:rsid w:val="008C10D8"/>
    <w:rsid w:val="008C1483"/>
    <w:rsid w:val="008C1EE0"/>
    <w:rsid w:val="008C1F3A"/>
    <w:rsid w:val="008C22D3"/>
    <w:rsid w:val="008C2375"/>
    <w:rsid w:val="008C2614"/>
    <w:rsid w:val="008C2A02"/>
    <w:rsid w:val="008C2A54"/>
    <w:rsid w:val="008C2F6F"/>
    <w:rsid w:val="008C38F4"/>
    <w:rsid w:val="008C439D"/>
    <w:rsid w:val="008C4578"/>
    <w:rsid w:val="008C69A6"/>
    <w:rsid w:val="008C7392"/>
    <w:rsid w:val="008C7FDF"/>
    <w:rsid w:val="008D1240"/>
    <w:rsid w:val="008D16F0"/>
    <w:rsid w:val="008D2BA4"/>
    <w:rsid w:val="008D3347"/>
    <w:rsid w:val="008D33A6"/>
    <w:rsid w:val="008D3767"/>
    <w:rsid w:val="008D3B69"/>
    <w:rsid w:val="008D408B"/>
    <w:rsid w:val="008D470A"/>
    <w:rsid w:val="008D5135"/>
    <w:rsid w:val="008D5BCE"/>
    <w:rsid w:val="008D5DBA"/>
    <w:rsid w:val="008D6721"/>
    <w:rsid w:val="008D75D3"/>
    <w:rsid w:val="008D7712"/>
    <w:rsid w:val="008D7CDC"/>
    <w:rsid w:val="008D7D73"/>
    <w:rsid w:val="008D7ED5"/>
    <w:rsid w:val="008E05A5"/>
    <w:rsid w:val="008E0850"/>
    <w:rsid w:val="008E11F8"/>
    <w:rsid w:val="008E125C"/>
    <w:rsid w:val="008E18DD"/>
    <w:rsid w:val="008E1CAD"/>
    <w:rsid w:val="008E1F99"/>
    <w:rsid w:val="008E29BB"/>
    <w:rsid w:val="008E2B9C"/>
    <w:rsid w:val="008E3173"/>
    <w:rsid w:val="008E3536"/>
    <w:rsid w:val="008E37B1"/>
    <w:rsid w:val="008E50B8"/>
    <w:rsid w:val="008E5607"/>
    <w:rsid w:val="008E5994"/>
    <w:rsid w:val="008E5A74"/>
    <w:rsid w:val="008E710D"/>
    <w:rsid w:val="008E7114"/>
    <w:rsid w:val="008E73C3"/>
    <w:rsid w:val="008E78DB"/>
    <w:rsid w:val="008E7E55"/>
    <w:rsid w:val="008F069E"/>
    <w:rsid w:val="008F1033"/>
    <w:rsid w:val="008F148F"/>
    <w:rsid w:val="008F206C"/>
    <w:rsid w:val="008F23E9"/>
    <w:rsid w:val="008F269C"/>
    <w:rsid w:val="008F2713"/>
    <w:rsid w:val="008F32F1"/>
    <w:rsid w:val="008F33D3"/>
    <w:rsid w:val="008F4360"/>
    <w:rsid w:val="008F535B"/>
    <w:rsid w:val="008F53EB"/>
    <w:rsid w:val="008F54DB"/>
    <w:rsid w:val="008F5DB1"/>
    <w:rsid w:val="008F6309"/>
    <w:rsid w:val="008F641A"/>
    <w:rsid w:val="008F6499"/>
    <w:rsid w:val="008F64B8"/>
    <w:rsid w:val="008F6894"/>
    <w:rsid w:val="008F75D9"/>
    <w:rsid w:val="008F773C"/>
    <w:rsid w:val="008F7BFF"/>
    <w:rsid w:val="009005DB"/>
    <w:rsid w:val="009006E5"/>
    <w:rsid w:val="00901568"/>
    <w:rsid w:val="00901962"/>
    <w:rsid w:val="00902AA1"/>
    <w:rsid w:val="00903005"/>
    <w:rsid w:val="009032A9"/>
    <w:rsid w:val="009035CB"/>
    <w:rsid w:val="00903B79"/>
    <w:rsid w:val="00903DDC"/>
    <w:rsid w:val="00903F2D"/>
    <w:rsid w:val="00904503"/>
    <w:rsid w:val="00904E10"/>
    <w:rsid w:val="00905184"/>
    <w:rsid w:val="00905919"/>
    <w:rsid w:val="00905A97"/>
    <w:rsid w:val="0090612B"/>
    <w:rsid w:val="00906266"/>
    <w:rsid w:val="009065E4"/>
    <w:rsid w:val="009066F0"/>
    <w:rsid w:val="009067D1"/>
    <w:rsid w:val="00907600"/>
    <w:rsid w:val="0090765C"/>
    <w:rsid w:val="009079D5"/>
    <w:rsid w:val="00910E06"/>
    <w:rsid w:val="00910E84"/>
    <w:rsid w:val="009114C5"/>
    <w:rsid w:val="009122AF"/>
    <w:rsid w:val="009122CA"/>
    <w:rsid w:val="009128EE"/>
    <w:rsid w:val="009130AE"/>
    <w:rsid w:val="00915164"/>
    <w:rsid w:val="00915ADA"/>
    <w:rsid w:val="00915DB7"/>
    <w:rsid w:val="0091610B"/>
    <w:rsid w:val="009162E0"/>
    <w:rsid w:val="0091665D"/>
    <w:rsid w:val="00916D4E"/>
    <w:rsid w:val="00917232"/>
    <w:rsid w:val="009178BA"/>
    <w:rsid w:val="00917C42"/>
    <w:rsid w:val="00917D57"/>
    <w:rsid w:val="00917E4A"/>
    <w:rsid w:val="00920A9F"/>
    <w:rsid w:val="00920AA8"/>
    <w:rsid w:val="00920F53"/>
    <w:rsid w:val="00921079"/>
    <w:rsid w:val="0092117F"/>
    <w:rsid w:val="00921C91"/>
    <w:rsid w:val="00921D8A"/>
    <w:rsid w:val="00922015"/>
    <w:rsid w:val="00922804"/>
    <w:rsid w:val="00922C70"/>
    <w:rsid w:val="009244AA"/>
    <w:rsid w:val="00924C08"/>
    <w:rsid w:val="00924FAC"/>
    <w:rsid w:val="00925597"/>
    <w:rsid w:val="00925A28"/>
    <w:rsid w:val="00925E90"/>
    <w:rsid w:val="00926454"/>
    <w:rsid w:val="00927304"/>
    <w:rsid w:val="00927C9E"/>
    <w:rsid w:val="009304BE"/>
    <w:rsid w:val="009306B7"/>
    <w:rsid w:val="00930A14"/>
    <w:rsid w:val="00931220"/>
    <w:rsid w:val="00931691"/>
    <w:rsid w:val="00931BE6"/>
    <w:rsid w:val="009323D3"/>
    <w:rsid w:val="00932D3B"/>
    <w:rsid w:val="00933CB5"/>
    <w:rsid w:val="00933F1F"/>
    <w:rsid w:val="00934193"/>
    <w:rsid w:val="009346DD"/>
    <w:rsid w:val="00935491"/>
    <w:rsid w:val="00935699"/>
    <w:rsid w:val="009358C0"/>
    <w:rsid w:val="00935C5F"/>
    <w:rsid w:val="009367F0"/>
    <w:rsid w:val="00936956"/>
    <w:rsid w:val="00936B83"/>
    <w:rsid w:val="00936BF1"/>
    <w:rsid w:val="00936EC4"/>
    <w:rsid w:val="0093709E"/>
    <w:rsid w:val="00937463"/>
    <w:rsid w:val="009374EE"/>
    <w:rsid w:val="009377F0"/>
    <w:rsid w:val="00937BDC"/>
    <w:rsid w:val="00940416"/>
    <w:rsid w:val="00940C4B"/>
    <w:rsid w:val="00940DC0"/>
    <w:rsid w:val="009417A0"/>
    <w:rsid w:val="00941BF9"/>
    <w:rsid w:val="00941F9A"/>
    <w:rsid w:val="00942676"/>
    <w:rsid w:val="00942693"/>
    <w:rsid w:val="00942CFE"/>
    <w:rsid w:val="00942F89"/>
    <w:rsid w:val="009434B9"/>
    <w:rsid w:val="009438E1"/>
    <w:rsid w:val="009445D8"/>
    <w:rsid w:val="00945341"/>
    <w:rsid w:val="00945766"/>
    <w:rsid w:val="00946082"/>
    <w:rsid w:val="009466DE"/>
    <w:rsid w:val="009468E2"/>
    <w:rsid w:val="00946B49"/>
    <w:rsid w:val="00950014"/>
    <w:rsid w:val="00950229"/>
    <w:rsid w:val="00950716"/>
    <w:rsid w:val="00950CBF"/>
    <w:rsid w:val="00951ECB"/>
    <w:rsid w:val="00952152"/>
    <w:rsid w:val="0095216F"/>
    <w:rsid w:val="00952E3F"/>
    <w:rsid w:val="00953C58"/>
    <w:rsid w:val="00954218"/>
    <w:rsid w:val="00954512"/>
    <w:rsid w:val="009550F8"/>
    <w:rsid w:val="0095539E"/>
    <w:rsid w:val="009556FA"/>
    <w:rsid w:val="009563CF"/>
    <w:rsid w:val="009565F4"/>
    <w:rsid w:val="009566C8"/>
    <w:rsid w:val="00957723"/>
    <w:rsid w:val="00960C1E"/>
    <w:rsid w:val="009610EA"/>
    <w:rsid w:val="00962389"/>
    <w:rsid w:val="009623E1"/>
    <w:rsid w:val="0096287F"/>
    <w:rsid w:val="00962904"/>
    <w:rsid w:val="00962A0F"/>
    <w:rsid w:val="00962C73"/>
    <w:rsid w:val="00963063"/>
    <w:rsid w:val="00963149"/>
    <w:rsid w:val="00963360"/>
    <w:rsid w:val="00963860"/>
    <w:rsid w:val="00963A89"/>
    <w:rsid w:val="00964079"/>
    <w:rsid w:val="0096414F"/>
    <w:rsid w:val="00964DFF"/>
    <w:rsid w:val="00965684"/>
    <w:rsid w:val="00965B78"/>
    <w:rsid w:val="00965D7B"/>
    <w:rsid w:val="00965FD7"/>
    <w:rsid w:val="00965FFE"/>
    <w:rsid w:val="00966166"/>
    <w:rsid w:val="00966478"/>
    <w:rsid w:val="00966583"/>
    <w:rsid w:val="00966E2E"/>
    <w:rsid w:val="0096779D"/>
    <w:rsid w:val="00967C9A"/>
    <w:rsid w:val="00970236"/>
    <w:rsid w:val="009713C2"/>
    <w:rsid w:val="00971445"/>
    <w:rsid w:val="00972138"/>
    <w:rsid w:val="00973071"/>
    <w:rsid w:val="0097322C"/>
    <w:rsid w:val="009737C8"/>
    <w:rsid w:val="009739AA"/>
    <w:rsid w:val="00973A50"/>
    <w:rsid w:val="00973C1B"/>
    <w:rsid w:val="0097481C"/>
    <w:rsid w:val="00975171"/>
    <w:rsid w:val="00975392"/>
    <w:rsid w:val="009755F9"/>
    <w:rsid w:val="00975EE2"/>
    <w:rsid w:val="009763AD"/>
    <w:rsid w:val="0097737D"/>
    <w:rsid w:val="00977B7B"/>
    <w:rsid w:val="00977D14"/>
    <w:rsid w:val="00977F16"/>
    <w:rsid w:val="00977F22"/>
    <w:rsid w:val="009801FC"/>
    <w:rsid w:val="00980B86"/>
    <w:rsid w:val="00980C87"/>
    <w:rsid w:val="00980F08"/>
    <w:rsid w:val="009810D7"/>
    <w:rsid w:val="009816BD"/>
    <w:rsid w:val="0098171C"/>
    <w:rsid w:val="009817E9"/>
    <w:rsid w:val="00981B0D"/>
    <w:rsid w:val="00982780"/>
    <w:rsid w:val="0098294B"/>
    <w:rsid w:val="00982BC6"/>
    <w:rsid w:val="00983296"/>
    <w:rsid w:val="009834E1"/>
    <w:rsid w:val="00983C9C"/>
    <w:rsid w:val="00984657"/>
    <w:rsid w:val="0098486D"/>
    <w:rsid w:val="00984CCE"/>
    <w:rsid w:val="00985592"/>
    <w:rsid w:val="00986286"/>
    <w:rsid w:val="00986857"/>
    <w:rsid w:val="00987003"/>
    <w:rsid w:val="00987458"/>
    <w:rsid w:val="0098783B"/>
    <w:rsid w:val="00990609"/>
    <w:rsid w:val="009908C7"/>
    <w:rsid w:val="00990C53"/>
    <w:rsid w:val="0099113E"/>
    <w:rsid w:val="009917AC"/>
    <w:rsid w:val="00991F4C"/>
    <w:rsid w:val="0099245B"/>
    <w:rsid w:val="009924AF"/>
    <w:rsid w:val="0099297A"/>
    <w:rsid w:val="00992C17"/>
    <w:rsid w:val="00992EE7"/>
    <w:rsid w:val="009936C6"/>
    <w:rsid w:val="00993724"/>
    <w:rsid w:val="00993941"/>
    <w:rsid w:val="00993EAA"/>
    <w:rsid w:val="00994285"/>
    <w:rsid w:val="009944FE"/>
    <w:rsid w:val="00994977"/>
    <w:rsid w:val="00994C8B"/>
    <w:rsid w:val="0099532C"/>
    <w:rsid w:val="00995693"/>
    <w:rsid w:val="009956B4"/>
    <w:rsid w:val="00995B12"/>
    <w:rsid w:val="0099626B"/>
    <w:rsid w:val="00996ED5"/>
    <w:rsid w:val="009976F3"/>
    <w:rsid w:val="009978A1"/>
    <w:rsid w:val="009A038D"/>
    <w:rsid w:val="009A04D9"/>
    <w:rsid w:val="009A0C0E"/>
    <w:rsid w:val="009A0CE7"/>
    <w:rsid w:val="009A317C"/>
    <w:rsid w:val="009A3940"/>
    <w:rsid w:val="009A4285"/>
    <w:rsid w:val="009A4F2E"/>
    <w:rsid w:val="009A52B5"/>
    <w:rsid w:val="009A58FA"/>
    <w:rsid w:val="009A5F2A"/>
    <w:rsid w:val="009A5FD9"/>
    <w:rsid w:val="009A63D7"/>
    <w:rsid w:val="009A65A2"/>
    <w:rsid w:val="009A66C3"/>
    <w:rsid w:val="009A68B6"/>
    <w:rsid w:val="009A6D3D"/>
    <w:rsid w:val="009A75DD"/>
    <w:rsid w:val="009A7B32"/>
    <w:rsid w:val="009A7F16"/>
    <w:rsid w:val="009B079F"/>
    <w:rsid w:val="009B08FA"/>
    <w:rsid w:val="009B1040"/>
    <w:rsid w:val="009B18C5"/>
    <w:rsid w:val="009B1AD2"/>
    <w:rsid w:val="009B2131"/>
    <w:rsid w:val="009B2D36"/>
    <w:rsid w:val="009B2E65"/>
    <w:rsid w:val="009B379C"/>
    <w:rsid w:val="009B3C46"/>
    <w:rsid w:val="009B3DAA"/>
    <w:rsid w:val="009B413C"/>
    <w:rsid w:val="009B42CD"/>
    <w:rsid w:val="009B4444"/>
    <w:rsid w:val="009B4764"/>
    <w:rsid w:val="009B4B64"/>
    <w:rsid w:val="009B4CBC"/>
    <w:rsid w:val="009B5FC2"/>
    <w:rsid w:val="009B6E4F"/>
    <w:rsid w:val="009B6E84"/>
    <w:rsid w:val="009B7425"/>
    <w:rsid w:val="009B7C81"/>
    <w:rsid w:val="009B7F0C"/>
    <w:rsid w:val="009C00DC"/>
    <w:rsid w:val="009C06BF"/>
    <w:rsid w:val="009C0B97"/>
    <w:rsid w:val="009C0ECD"/>
    <w:rsid w:val="009C11AF"/>
    <w:rsid w:val="009C1395"/>
    <w:rsid w:val="009C1E26"/>
    <w:rsid w:val="009C20B4"/>
    <w:rsid w:val="009C27A2"/>
    <w:rsid w:val="009C2B53"/>
    <w:rsid w:val="009C3312"/>
    <w:rsid w:val="009C411A"/>
    <w:rsid w:val="009C4394"/>
    <w:rsid w:val="009C4585"/>
    <w:rsid w:val="009C48A6"/>
    <w:rsid w:val="009C4E12"/>
    <w:rsid w:val="009C6947"/>
    <w:rsid w:val="009C6E75"/>
    <w:rsid w:val="009D168D"/>
    <w:rsid w:val="009D18E7"/>
    <w:rsid w:val="009D1D34"/>
    <w:rsid w:val="009D2346"/>
    <w:rsid w:val="009D27C0"/>
    <w:rsid w:val="009D3208"/>
    <w:rsid w:val="009D3B13"/>
    <w:rsid w:val="009D3DAC"/>
    <w:rsid w:val="009D4088"/>
    <w:rsid w:val="009D41D3"/>
    <w:rsid w:val="009D4645"/>
    <w:rsid w:val="009D5079"/>
    <w:rsid w:val="009D53A6"/>
    <w:rsid w:val="009D56DA"/>
    <w:rsid w:val="009D5775"/>
    <w:rsid w:val="009D5A3F"/>
    <w:rsid w:val="009D6056"/>
    <w:rsid w:val="009D6456"/>
    <w:rsid w:val="009D6CC8"/>
    <w:rsid w:val="009E0249"/>
    <w:rsid w:val="009E14F3"/>
    <w:rsid w:val="009E16A4"/>
    <w:rsid w:val="009E1722"/>
    <w:rsid w:val="009E2255"/>
    <w:rsid w:val="009E2A9F"/>
    <w:rsid w:val="009E2B4A"/>
    <w:rsid w:val="009E2E6D"/>
    <w:rsid w:val="009E42CF"/>
    <w:rsid w:val="009E495D"/>
    <w:rsid w:val="009E4EED"/>
    <w:rsid w:val="009E4F16"/>
    <w:rsid w:val="009E5318"/>
    <w:rsid w:val="009E56E0"/>
    <w:rsid w:val="009E61C6"/>
    <w:rsid w:val="009E641A"/>
    <w:rsid w:val="009E6A58"/>
    <w:rsid w:val="009E733A"/>
    <w:rsid w:val="009F002D"/>
    <w:rsid w:val="009F033C"/>
    <w:rsid w:val="009F0355"/>
    <w:rsid w:val="009F09B5"/>
    <w:rsid w:val="009F1479"/>
    <w:rsid w:val="009F1D35"/>
    <w:rsid w:val="009F1DA0"/>
    <w:rsid w:val="009F1DB8"/>
    <w:rsid w:val="009F1E5C"/>
    <w:rsid w:val="009F1FCD"/>
    <w:rsid w:val="009F24A4"/>
    <w:rsid w:val="009F2BA9"/>
    <w:rsid w:val="009F34E9"/>
    <w:rsid w:val="009F4852"/>
    <w:rsid w:val="009F4DC3"/>
    <w:rsid w:val="009F5159"/>
    <w:rsid w:val="009F5F79"/>
    <w:rsid w:val="009F6E01"/>
    <w:rsid w:val="009F73B7"/>
    <w:rsid w:val="009F7577"/>
    <w:rsid w:val="009F7905"/>
    <w:rsid w:val="009F7B0D"/>
    <w:rsid w:val="009F7EAA"/>
    <w:rsid w:val="00A0019C"/>
    <w:rsid w:val="00A003E2"/>
    <w:rsid w:val="00A0076A"/>
    <w:rsid w:val="00A00EB0"/>
    <w:rsid w:val="00A01038"/>
    <w:rsid w:val="00A01A77"/>
    <w:rsid w:val="00A02072"/>
    <w:rsid w:val="00A02C98"/>
    <w:rsid w:val="00A02FD4"/>
    <w:rsid w:val="00A03D49"/>
    <w:rsid w:val="00A03F06"/>
    <w:rsid w:val="00A040B9"/>
    <w:rsid w:val="00A0444D"/>
    <w:rsid w:val="00A05071"/>
    <w:rsid w:val="00A052B2"/>
    <w:rsid w:val="00A055D8"/>
    <w:rsid w:val="00A05ABC"/>
    <w:rsid w:val="00A05D64"/>
    <w:rsid w:val="00A0670F"/>
    <w:rsid w:val="00A0679C"/>
    <w:rsid w:val="00A078B8"/>
    <w:rsid w:val="00A07D42"/>
    <w:rsid w:val="00A10221"/>
    <w:rsid w:val="00A106AC"/>
    <w:rsid w:val="00A10725"/>
    <w:rsid w:val="00A10FB1"/>
    <w:rsid w:val="00A11ED8"/>
    <w:rsid w:val="00A12080"/>
    <w:rsid w:val="00A1247A"/>
    <w:rsid w:val="00A127D8"/>
    <w:rsid w:val="00A12877"/>
    <w:rsid w:val="00A12B00"/>
    <w:rsid w:val="00A12EC3"/>
    <w:rsid w:val="00A13033"/>
    <w:rsid w:val="00A1367A"/>
    <w:rsid w:val="00A14AA7"/>
    <w:rsid w:val="00A154AA"/>
    <w:rsid w:val="00A15920"/>
    <w:rsid w:val="00A15DF9"/>
    <w:rsid w:val="00A164A9"/>
    <w:rsid w:val="00A1717C"/>
    <w:rsid w:val="00A171FF"/>
    <w:rsid w:val="00A17612"/>
    <w:rsid w:val="00A204BD"/>
    <w:rsid w:val="00A20942"/>
    <w:rsid w:val="00A213DA"/>
    <w:rsid w:val="00A221F8"/>
    <w:rsid w:val="00A22A1A"/>
    <w:rsid w:val="00A23053"/>
    <w:rsid w:val="00A23641"/>
    <w:rsid w:val="00A237B6"/>
    <w:rsid w:val="00A23A6F"/>
    <w:rsid w:val="00A23B39"/>
    <w:rsid w:val="00A23DE8"/>
    <w:rsid w:val="00A240C0"/>
    <w:rsid w:val="00A250CC"/>
    <w:rsid w:val="00A2575A"/>
    <w:rsid w:val="00A25D9B"/>
    <w:rsid w:val="00A25EB1"/>
    <w:rsid w:val="00A261CF"/>
    <w:rsid w:val="00A26557"/>
    <w:rsid w:val="00A26A5F"/>
    <w:rsid w:val="00A26ACE"/>
    <w:rsid w:val="00A277F0"/>
    <w:rsid w:val="00A27C0A"/>
    <w:rsid w:val="00A27CDD"/>
    <w:rsid w:val="00A27E38"/>
    <w:rsid w:val="00A30363"/>
    <w:rsid w:val="00A30465"/>
    <w:rsid w:val="00A30C07"/>
    <w:rsid w:val="00A30CF0"/>
    <w:rsid w:val="00A3109F"/>
    <w:rsid w:val="00A31483"/>
    <w:rsid w:val="00A315C7"/>
    <w:rsid w:val="00A316C8"/>
    <w:rsid w:val="00A31C08"/>
    <w:rsid w:val="00A32095"/>
    <w:rsid w:val="00A320A1"/>
    <w:rsid w:val="00A3228C"/>
    <w:rsid w:val="00A32383"/>
    <w:rsid w:val="00A327AB"/>
    <w:rsid w:val="00A32B64"/>
    <w:rsid w:val="00A32FC2"/>
    <w:rsid w:val="00A345BB"/>
    <w:rsid w:val="00A348D1"/>
    <w:rsid w:val="00A34C25"/>
    <w:rsid w:val="00A35B51"/>
    <w:rsid w:val="00A36040"/>
    <w:rsid w:val="00A36310"/>
    <w:rsid w:val="00A36438"/>
    <w:rsid w:val="00A365A6"/>
    <w:rsid w:val="00A365EE"/>
    <w:rsid w:val="00A36F1F"/>
    <w:rsid w:val="00A37706"/>
    <w:rsid w:val="00A4069B"/>
    <w:rsid w:val="00A40F50"/>
    <w:rsid w:val="00A417A3"/>
    <w:rsid w:val="00A41AF0"/>
    <w:rsid w:val="00A42770"/>
    <w:rsid w:val="00A42DC2"/>
    <w:rsid w:val="00A433EE"/>
    <w:rsid w:val="00A4445F"/>
    <w:rsid w:val="00A44857"/>
    <w:rsid w:val="00A44D9E"/>
    <w:rsid w:val="00A454D1"/>
    <w:rsid w:val="00A45BE1"/>
    <w:rsid w:val="00A4659A"/>
    <w:rsid w:val="00A465C7"/>
    <w:rsid w:val="00A46C5A"/>
    <w:rsid w:val="00A47452"/>
    <w:rsid w:val="00A47496"/>
    <w:rsid w:val="00A47C06"/>
    <w:rsid w:val="00A47E6E"/>
    <w:rsid w:val="00A50B0F"/>
    <w:rsid w:val="00A51849"/>
    <w:rsid w:val="00A51A43"/>
    <w:rsid w:val="00A52010"/>
    <w:rsid w:val="00A5248D"/>
    <w:rsid w:val="00A52A46"/>
    <w:rsid w:val="00A52D5B"/>
    <w:rsid w:val="00A52E02"/>
    <w:rsid w:val="00A53733"/>
    <w:rsid w:val="00A53BBD"/>
    <w:rsid w:val="00A53C8C"/>
    <w:rsid w:val="00A53E04"/>
    <w:rsid w:val="00A5410C"/>
    <w:rsid w:val="00A54177"/>
    <w:rsid w:val="00A5437F"/>
    <w:rsid w:val="00A54535"/>
    <w:rsid w:val="00A54959"/>
    <w:rsid w:val="00A550E9"/>
    <w:rsid w:val="00A55138"/>
    <w:rsid w:val="00A56250"/>
    <w:rsid w:val="00A562DF"/>
    <w:rsid w:val="00A56D86"/>
    <w:rsid w:val="00A60367"/>
    <w:rsid w:val="00A614B1"/>
    <w:rsid w:val="00A615A9"/>
    <w:rsid w:val="00A61AE0"/>
    <w:rsid w:val="00A61F22"/>
    <w:rsid w:val="00A62D8C"/>
    <w:rsid w:val="00A62E54"/>
    <w:rsid w:val="00A635BC"/>
    <w:rsid w:val="00A637A9"/>
    <w:rsid w:val="00A638B3"/>
    <w:rsid w:val="00A63AAC"/>
    <w:rsid w:val="00A63CB8"/>
    <w:rsid w:val="00A6485E"/>
    <w:rsid w:val="00A64EF7"/>
    <w:rsid w:val="00A65114"/>
    <w:rsid w:val="00A65397"/>
    <w:rsid w:val="00A65A71"/>
    <w:rsid w:val="00A674FF"/>
    <w:rsid w:val="00A67511"/>
    <w:rsid w:val="00A67570"/>
    <w:rsid w:val="00A67A86"/>
    <w:rsid w:val="00A67E27"/>
    <w:rsid w:val="00A70015"/>
    <w:rsid w:val="00A70422"/>
    <w:rsid w:val="00A7079F"/>
    <w:rsid w:val="00A70EFA"/>
    <w:rsid w:val="00A70F52"/>
    <w:rsid w:val="00A7108B"/>
    <w:rsid w:val="00A72480"/>
    <w:rsid w:val="00A7251D"/>
    <w:rsid w:val="00A725C5"/>
    <w:rsid w:val="00A728D0"/>
    <w:rsid w:val="00A72936"/>
    <w:rsid w:val="00A72B2A"/>
    <w:rsid w:val="00A736E2"/>
    <w:rsid w:val="00A742B5"/>
    <w:rsid w:val="00A74738"/>
    <w:rsid w:val="00A753D3"/>
    <w:rsid w:val="00A7581C"/>
    <w:rsid w:val="00A75CB5"/>
    <w:rsid w:val="00A75EBF"/>
    <w:rsid w:val="00A7618C"/>
    <w:rsid w:val="00A76229"/>
    <w:rsid w:val="00A76A61"/>
    <w:rsid w:val="00A76D90"/>
    <w:rsid w:val="00A76E8E"/>
    <w:rsid w:val="00A76EAC"/>
    <w:rsid w:val="00A77599"/>
    <w:rsid w:val="00A77CC3"/>
    <w:rsid w:val="00A77D46"/>
    <w:rsid w:val="00A77DB5"/>
    <w:rsid w:val="00A80F4B"/>
    <w:rsid w:val="00A81503"/>
    <w:rsid w:val="00A8160F"/>
    <w:rsid w:val="00A8184B"/>
    <w:rsid w:val="00A81A0F"/>
    <w:rsid w:val="00A81D7D"/>
    <w:rsid w:val="00A81F92"/>
    <w:rsid w:val="00A821AD"/>
    <w:rsid w:val="00A82311"/>
    <w:rsid w:val="00A82864"/>
    <w:rsid w:val="00A82BC7"/>
    <w:rsid w:val="00A830C7"/>
    <w:rsid w:val="00A8319E"/>
    <w:rsid w:val="00A83445"/>
    <w:rsid w:val="00A837DB"/>
    <w:rsid w:val="00A84221"/>
    <w:rsid w:val="00A85524"/>
    <w:rsid w:val="00A85F3C"/>
    <w:rsid w:val="00A862A2"/>
    <w:rsid w:val="00A87437"/>
    <w:rsid w:val="00A8762B"/>
    <w:rsid w:val="00A87982"/>
    <w:rsid w:val="00A90117"/>
    <w:rsid w:val="00A9101A"/>
    <w:rsid w:val="00A912D1"/>
    <w:rsid w:val="00A915FE"/>
    <w:rsid w:val="00A91FBF"/>
    <w:rsid w:val="00A920D1"/>
    <w:rsid w:val="00A92206"/>
    <w:rsid w:val="00A92AA1"/>
    <w:rsid w:val="00A930B1"/>
    <w:rsid w:val="00A93397"/>
    <w:rsid w:val="00A9360B"/>
    <w:rsid w:val="00A9364F"/>
    <w:rsid w:val="00A93EA1"/>
    <w:rsid w:val="00A954D8"/>
    <w:rsid w:val="00A95AF2"/>
    <w:rsid w:val="00A960F8"/>
    <w:rsid w:val="00A9642F"/>
    <w:rsid w:val="00A9647C"/>
    <w:rsid w:val="00A9676A"/>
    <w:rsid w:val="00A96A7F"/>
    <w:rsid w:val="00A96C16"/>
    <w:rsid w:val="00A96C3C"/>
    <w:rsid w:val="00A97332"/>
    <w:rsid w:val="00A9763D"/>
    <w:rsid w:val="00A9788E"/>
    <w:rsid w:val="00A97A08"/>
    <w:rsid w:val="00AA01D0"/>
    <w:rsid w:val="00AA0423"/>
    <w:rsid w:val="00AA0489"/>
    <w:rsid w:val="00AA0490"/>
    <w:rsid w:val="00AA0A50"/>
    <w:rsid w:val="00AA0B74"/>
    <w:rsid w:val="00AA1011"/>
    <w:rsid w:val="00AA1128"/>
    <w:rsid w:val="00AA1759"/>
    <w:rsid w:val="00AA1BF1"/>
    <w:rsid w:val="00AA1F40"/>
    <w:rsid w:val="00AA202C"/>
    <w:rsid w:val="00AA216F"/>
    <w:rsid w:val="00AA291F"/>
    <w:rsid w:val="00AA2A32"/>
    <w:rsid w:val="00AA2A39"/>
    <w:rsid w:val="00AA2DCE"/>
    <w:rsid w:val="00AA2F68"/>
    <w:rsid w:val="00AA33BA"/>
    <w:rsid w:val="00AA3C81"/>
    <w:rsid w:val="00AA413E"/>
    <w:rsid w:val="00AA4996"/>
    <w:rsid w:val="00AA5A3B"/>
    <w:rsid w:val="00AA5D42"/>
    <w:rsid w:val="00AA5E0D"/>
    <w:rsid w:val="00AA625A"/>
    <w:rsid w:val="00AA6DF6"/>
    <w:rsid w:val="00AA7527"/>
    <w:rsid w:val="00AA7678"/>
    <w:rsid w:val="00AA791F"/>
    <w:rsid w:val="00AB07F9"/>
    <w:rsid w:val="00AB133F"/>
    <w:rsid w:val="00AB1437"/>
    <w:rsid w:val="00AB19F6"/>
    <w:rsid w:val="00AB1DFB"/>
    <w:rsid w:val="00AB2268"/>
    <w:rsid w:val="00AB22B2"/>
    <w:rsid w:val="00AB352C"/>
    <w:rsid w:val="00AB36DB"/>
    <w:rsid w:val="00AB3DEB"/>
    <w:rsid w:val="00AB4042"/>
    <w:rsid w:val="00AB4B3B"/>
    <w:rsid w:val="00AB4B4E"/>
    <w:rsid w:val="00AB4E58"/>
    <w:rsid w:val="00AB5024"/>
    <w:rsid w:val="00AB62D5"/>
    <w:rsid w:val="00AB6863"/>
    <w:rsid w:val="00AC0C56"/>
    <w:rsid w:val="00AC105E"/>
    <w:rsid w:val="00AC1064"/>
    <w:rsid w:val="00AC131F"/>
    <w:rsid w:val="00AC2029"/>
    <w:rsid w:val="00AC27D6"/>
    <w:rsid w:val="00AC2BF5"/>
    <w:rsid w:val="00AC2C6D"/>
    <w:rsid w:val="00AC2FE1"/>
    <w:rsid w:val="00AC33C8"/>
    <w:rsid w:val="00AC3BD4"/>
    <w:rsid w:val="00AC3D0F"/>
    <w:rsid w:val="00AC42B3"/>
    <w:rsid w:val="00AC4633"/>
    <w:rsid w:val="00AC49FA"/>
    <w:rsid w:val="00AC516E"/>
    <w:rsid w:val="00AC56F6"/>
    <w:rsid w:val="00AC5F24"/>
    <w:rsid w:val="00AC60AA"/>
    <w:rsid w:val="00AC61FA"/>
    <w:rsid w:val="00AC6433"/>
    <w:rsid w:val="00AC6730"/>
    <w:rsid w:val="00AC689D"/>
    <w:rsid w:val="00AC72FE"/>
    <w:rsid w:val="00AD190E"/>
    <w:rsid w:val="00AD26AC"/>
    <w:rsid w:val="00AD27AC"/>
    <w:rsid w:val="00AD32BE"/>
    <w:rsid w:val="00AD3588"/>
    <w:rsid w:val="00AD4D8D"/>
    <w:rsid w:val="00AD508E"/>
    <w:rsid w:val="00AD53B0"/>
    <w:rsid w:val="00AD585C"/>
    <w:rsid w:val="00AD5876"/>
    <w:rsid w:val="00AD5AD9"/>
    <w:rsid w:val="00AD5B53"/>
    <w:rsid w:val="00AD6301"/>
    <w:rsid w:val="00AD7A3B"/>
    <w:rsid w:val="00AD7D22"/>
    <w:rsid w:val="00AD7ED5"/>
    <w:rsid w:val="00AE011A"/>
    <w:rsid w:val="00AE043E"/>
    <w:rsid w:val="00AE08A0"/>
    <w:rsid w:val="00AE0D31"/>
    <w:rsid w:val="00AE0E77"/>
    <w:rsid w:val="00AE1937"/>
    <w:rsid w:val="00AE1CDF"/>
    <w:rsid w:val="00AE2035"/>
    <w:rsid w:val="00AE2092"/>
    <w:rsid w:val="00AE20B3"/>
    <w:rsid w:val="00AE2162"/>
    <w:rsid w:val="00AE2449"/>
    <w:rsid w:val="00AE27A4"/>
    <w:rsid w:val="00AE2AA2"/>
    <w:rsid w:val="00AE2F26"/>
    <w:rsid w:val="00AE2FA7"/>
    <w:rsid w:val="00AE3719"/>
    <w:rsid w:val="00AE379E"/>
    <w:rsid w:val="00AE38DA"/>
    <w:rsid w:val="00AE3A67"/>
    <w:rsid w:val="00AE40E6"/>
    <w:rsid w:val="00AE4368"/>
    <w:rsid w:val="00AE4AC1"/>
    <w:rsid w:val="00AE4EA6"/>
    <w:rsid w:val="00AE5547"/>
    <w:rsid w:val="00AE6015"/>
    <w:rsid w:val="00AE6119"/>
    <w:rsid w:val="00AE63BB"/>
    <w:rsid w:val="00AE6697"/>
    <w:rsid w:val="00AE7804"/>
    <w:rsid w:val="00AF079E"/>
    <w:rsid w:val="00AF0938"/>
    <w:rsid w:val="00AF0A1D"/>
    <w:rsid w:val="00AF1817"/>
    <w:rsid w:val="00AF1BC9"/>
    <w:rsid w:val="00AF1EB3"/>
    <w:rsid w:val="00AF2D5C"/>
    <w:rsid w:val="00AF3A51"/>
    <w:rsid w:val="00AF4269"/>
    <w:rsid w:val="00AF42F7"/>
    <w:rsid w:val="00AF4530"/>
    <w:rsid w:val="00AF46C2"/>
    <w:rsid w:val="00AF4C79"/>
    <w:rsid w:val="00AF4CBD"/>
    <w:rsid w:val="00AF4FE9"/>
    <w:rsid w:val="00AF58BC"/>
    <w:rsid w:val="00AF5B1A"/>
    <w:rsid w:val="00AF64B0"/>
    <w:rsid w:val="00AF6A01"/>
    <w:rsid w:val="00AF6C23"/>
    <w:rsid w:val="00AF71E2"/>
    <w:rsid w:val="00AF73A2"/>
    <w:rsid w:val="00AF73EB"/>
    <w:rsid w:val="00AF77F1"/>
    <w:rsid w:val="00B007FE"/>
    <w:rsid w:val="00B00CF8"/>
    <w:rsid w:val="00B0127C"/>
    <w:rsid w:val="00B0154B"/>
    <w:rsid w:val="00B01F75"/>
    <w:rsid w:val="00B020E6"/>
    <w:rsid w:val="00B02284"/>
    <w:rsid w:val="00B029AB"/>
    <w:rsid w:val="00B02D2F"/>
    <w:rsid w:val="00B03321"/>
    <w:rsid w:val="00B034C6"/>
    <w:rsid w:val="00B03B5F"/>
    <w:rsid w:val="00B04570"/>
    <w:rsid w:val="00B046CF"/>
    <w:rsid w:val="00B04701"/>
    <w:rsid w:val="00B04D79"/>
    <w:rsid w:val="00B04DB3"/>
    <w:rsid w:val="00B058F2"/>
    <w:rsid w:val="00B05C14"/>
    <w:rsid w:val="00B05DC5"/>
    <w:rsid w:val="00B065CF"/>
    <w:rsid w:val="00B065F3"/>
    <w:rsid w:val="00B06CD4"/>
    <w:rsid w:val="00B06CF8"/>
    <w:rsid w:val="00B07263"/>
    <w:rsid w:val="00B0754D"/>
    <w:rsid w:val="00B07D9A"/>
    <w:rsid w:val="00B10279"/>
    <w:rsid w:val="00B1057A"/>
    <w:rsid w:val="00B10712"/>
    <w:rsid w:val="00B10A26"/>
    <w:rsid w:val="00B11AD1"/>
    <w:rsid w:val="00B11E7A"/>
    <w:rsid w:val="00B12170"/>
    <w:rsid w:val="00B12482"/>
    <w:rsid w:val="00B12792"/>
    <w:rsid w:val="00B12EDA"/>
    <w:rsid w:val="00B13505"/>
    <w:rsid w:val="00B141BD"/>
    <w:rsid w:val="00B145B6"/>
    <w:rsid w:val="00B1487E"/>
    <w:rsid w:val="00B14F65"/>
    <w:rsid w:val="00B154DA"/>
    <w:rsid w:val="00B15773"/>
    <w:rsid w:val="00B158DC"/>
    <w:rsid w:val="00B1627A"/>
    <w:rsid w:val="00B16D19"/>
    <w:rsid w:val="00B17203"/>
    <w:rsid w:val="00B17866"/>
    <w:rsid w:val="00B178F8"/>
    <w:rsid w:val="00B17A51"/>
    <w:rsid w:val="00B17ECC"/>
    <w:rsid w:val="00B17FBC"/>
    <w:rsid w:val="00B200A2"/>
    <w:rsid w:val="00B200EF"/>
    <w:rsid w:val="00B200FF"/>
    <w:rsid w:val="00B203E1"/>
    <w:rsid w:val="00B208C6"/>
    <w:rsid w:val="00B211A5"/>
    <w:rsid w:val="00B217EF"/>
    <w:rsid w:val="00B21A96"/>
    <w:rsid w:val="00B21D85"/>
    <w:rsid w:val="00B21E2D"/>
    <w:rsid w:val="00B223BA"/>
    <w:rsid w:val="00B22662"/>
    <w:rsid w:val="00B22B02"/>
    <w:rsid w:val="00B22D79"/>
    <w:rsid w:val="00B23080"/>
    <w:rsid w:val="00B23520"/>
    <w:rsid w:val="00B2360C"/>
    <w:rsid w:val="00B2455C"/>
    <w:rsid w:val="00B24F57"/>
    <w:rsid w:val="00B25DA4"/>
    <w:rsid w:val="00B25E8C"/>
    <w:rsid w:val="00B26019"/>
    <w:rsid w:val="00B266C8"/>
    <w:rsid w:val="00B274F0"/>
    <w:rsid w:val="00B27558"/>
    <w:rsid w:val="00B27AAE"/>
    <w:rsid w:val="00B27BDF"/>
    <w:rsid w:val="00B27FEC"/>
    <w:rsid w:val="00B305DA"/>
    <w:rsid w:val="00B30E94"/>
    <w:rsid w:val="00B33651"/>
    <w:rsid w:val="00B33AAE"/>
    <w:rsid w:val="00B34971"/>
    <w:rsid w:val="00B34BBA"/>
    <w:rsid w:val="00B34E04"/>
    <w:rsid w:val="00B350C8"/>
    <w:rsid w:val="00B352EC"/>
    <w:rsid w:val="00B35768"/>
    <w:rsid w:val="00B35DB1"/>
    <w:rsid w:val="00B37142"/>
    <w:rsid w:val="00B37771"/>
    <w:rsid w:val="00B377A6"/>
    <w:rsid w:val="00B37BF4"/>
    <w:rsid w:val="00B37BF5"/>
    <w:rsid w:val="00B4046B"/>
    <w:rsid w:val="00B40572"/>
    <w:rsid w:val="00B407C3"/>
    <w:rsid w:val="00B409DF"/>
    <w:rsid w:val="00B40EC2"/>
    <w:rsid w:val="00B412F2"/>
    <w:rsid w:val="00B41799"/>
    <w:rsid w:val="00B41A9A"/>
    <w:rsid w:val="00B4247D"/>
    <w:rsid w:val="00B4260D"/>
    <w:rsid w:val="00B42699"/>
    <w:rsid w:val="00B42DA6"/>
    <w:rsid w:val="00B430C3"/>
    <w:rsid w:val="00B4374A"/>
    <w:rsid w:val="00B437CA"/>
    <w:rsid w:val="00B43A4E"/>
    <w:rsid w:val="00B43ABC"/>
    <w:rsid w:val="00B43FE1"/>
    <w:rsid w:val="00B442B7"/>
    <w:rsid w:val="00B445CD"/>
    <w:rsid w:val="00B447B0"/>
    <w:rsid w:val="00B44D41"/>
    <w:rsid w:val="00B44EBD"/>
    <w:rsid w:val="00B45124"/>
    <w:rsid w:val="00B45B08"/>
    <w:rsid w:val="00B45B34"/>
    <w:rsid w:val="00B45EC3"/>
    <w:rsid w:val="00B46A57"/>
    <w:rsid w:val="00B4706E"/>
    <w:rsid w:val="00B47834"/>
    <w:rsid w:val="00B479E3"/>
    <w:rsid w:val="00B47B25"/>
    <w:rsid w:val="00B47C08"/>
    <w:rsid w:val="00B47D63"/>
    <w:rsid w:val="00B47FDD"/>
    <w:rsid w:val="00B501A1"/>
    <w:rsid w:val="00B50234"/>
    <w:rsid w:val="00B50494"/>
    <w:rsid w:val="00B50E66"/>
    <w:rsid w:val="00B51C23"/>
    <w:rsid w:val="00B51E82"/>
    <w:rsid w:val="00B51FC0"/>
    <w:rsid w:val="00B522EC"/>
    <w:rsid w:val="00B52528"/>
    <w:rsid w:val="00B534AA"/>
    <w:rsid w:val="00B53D9A"/>
    <w:rsid w:val="00B542D3"/>
    <w:rsid w:val="00B546FC"/>
    <w:rsid w:val="00B547B0"/>
    <w:rsid w:val="00B54A6A"/>
    <w:rsid w:val="00B54F25"/>
    <w:rsid w:val="00B553BD"/>
    <w:rsid w:val="00B557E5"/>
    <w:rsid w:val="00B55EB6"/>
    <w:rsid w:val="00B56107"/>
    <w:rsid w:val="00B564EA"/>
    <w:rsid w:val="00B566B6"/>
    <w:rsid w:val="00B56821"/>
    <w:rsid w:val="00B5684E"/>
    <w:rsid w:val="00B56C3A"/>
    <w:rsid w:val="00B57366"/>
    <w:rsid w:val="00B57570"/>
    <w:rsid w:val="00B57EBD"/>
    <w:rsid w:val="00B57F4C"/>
    <w:rsid w:val="00B60031"/>
    <w:rsid w:val="00B600DE"/>
    <w:rsid w:val="00B604DA"/>
    <w:rsid w:val="00B60709"/>
    <w:rsid w:val="00B60CFD"/>
    <w:rsid w:val="00B61863"/>
    <w:rsid w:val="00B61F8E"/>
    <w:rsid w:val="00B62069"/>
    <w:rsid w:val="00B62222"/>
    <w:rsid w:val="00B6226B"/>
    <w:rsid w:val="00B623EE"/>
    <w:rsid w:val="00B62DC5"/>
    <w:rsid w:val="00B6308C"/>
    <w:rsid w:val="00B64063"/>
    <w:rsid w:val="00B6482D"/>
    <w:rsid w:val="00B64A39"/>
    <w:rsid w:val="00B65170"/>
    <w:rsid w:val="00B65546"/>
    <w:rsid w:val="00B65B09"/>
    <w:rsid w:val="00B65CC0"/>
    <w:rsid w:val="00B6640E"/>
    <w:rsid w:val="00B664C1"/>
    <w:rsid w:val="00B6664B"/>
    <w:rsid w:val="00B676DB"/>
    <w:rsid w:val="00B67B22"/>
    <w:rsid w:val="00B67D8A"/>
    <w:rsid w:val="00B70086"/>
    <w:rsid w:val="00B70693"/>
    <w:rsid w:val="00B70C44"/>
    <w:rsid w:val="00B70FBA"/>
    <w:rsid w:val="00B72435"/>
    <w:rsid w:val="00B72733"/>
    <w:rsid w:val="00B72E3D"/>
    <w:rsid w:val="00B72F12"/>
    <w:rsid w:val="00B73196"/>
    <w:rsid w:val="00B736E4"/>
    <w:rsid w:val="00B74791"/>
    <w:rsid w:val="00B74A63"/>
    <w:rsid w:val="00B75DA1"/>
    <w:rsid w:val="00B7647B"/>
    <w:rsid w:val="00B76496"/>
    <w:rsid w:val="00B76549"/>
    <w:rsid w:val="00B7670F"/>
    <w:rsid w:val="00B7684A"/>
    <w:rsid w:val="00B76F1D"/>
    <w:rsid w:val="00B76F70"/>
    <w:rsid w:val="00B773FD"/>
    <w:rsid w:val="00B803DC"/>
    <w:rsid w:val="00B80A13"/>
    <w:rsid w:val="00B80B8B"/>
    <w:rsid w:val="00B80D66"/>
    <w:rsid w:val="00B81501"/>
    <w:rsid w:val="00B81B42"/>
    <w:rsid w:val="00B83731"/>
    <w:rsid w:val="00B84900"/>
    <w:rsid w:val="00B84E93"/>
    <w:rsid w:val="00B850D5"/>
    <w:rsid w:val="00B85310"/>
    <w:rsid w:val="00B85D6A"/>
    <w:rsid w:val="00B903CD"/>
    <w:rsid w:val="00B91B1F"/>
    <w:rsid w:val="00B91F5C"/>
    <w:rsid w:val="00B9207E"/>
    <w:rsid w:val="00B92117"/>
    <w:rsid w:val="00B92612"/>
    <w:rsid w:val="00B92771"/>
    <w:rsid w:val="00B92E12"/>
    <w:rsid w:val="00B92EFE"/>
    <w:rsid w:val="00B9338E"/>
    <w:rsid w:val="00B937AF"/>
    <w:rsid w:val="00B94374"/>
    <w:rsid w:val="00B946B0"/>
    <w:rsid w:val="00B94D25"/>
    <w:rsid w:val="00B95567"/>
    <w:rsid w:val="00B95A68"/>
    <w:rsid w:val="00B95BD7"/>
    <w:rsid w:val="00B95BFF"/>
    <w:rsid w:val="00B95DDC"/>
    <w:rsid w:val="00B96015"/>
    <w:rsid w:val="00B96183"/>
    <w:rsid w:val="00B96455"/>
    <w:rsid w:val="00B969FC"/>
    <w:rsid w:val="00B96BF5"/>
    <w:rsid w:val="00B96D97"/>
    <w:rsid w:val="00B96F19"/>
    <w:rsid w:val="00B96F49"/>
    <w:rsid w:val="00B973F5"/>
    <w:rsid w:val="00B97973"/>
    <w:rsid w:val="00B97C37"/>
    <w:rsid w:val="00B97E87"/>
    <w:rsid w:val="00B97F31"/>
    <w:rsid w:val="00BA0612"/>
    <w:rsid w:val="00BA0FA6"/>
    <w:rsid w:val="00BA11EF"/>
    <w:rsid w:val="00BA1241"/>
    <w:rsid w:val="00BA184A"/>
    <w:rsid w:val="00BA243A"/>
    <w:rsid w:val="00BA2AF3"/>
    <w:rsid w:val="00BA2E15"/>
    <w:rsid w:val="00BA2E74"/>
    <w:rsid w:val="00BA2ED8"/>
    <w:rsid w:val="00BA3241"/>
    <w:rsid w:val="00BA36B8"/>
    <w:rsid w:val="00BA38A4"/>
    <w:rsid w:val="00BA3BDD"/>
    <w:rsid w:val="00BA3F44"/>
    <w:rsid w:val="00BA411A"/>
    <w:rsid w:val="00BA4648"/>
    <w:rsid w:val="00BA468E"/>
    <w:rsid w:val="00BA46A3"/>
    <w:rsid w:val="00BA5BEB"/>
    <w:rsid w:val="00BA5CEA"/>
    <w:rsid w:val="00BA5F8C"/>
    <w:rsid w:val="00BA67E4"/>
    <w:rsid w:val="00BA718E"/>
    <w:rsid w:val="00BA7569"/>
    <w:rsid w:val="00BA7A0D"/>
    <w:rsid w:val="00BB0201"/>
    <w:rsid w:val="00BB0467"/>
    <w:rsid w:val="00BB081B"/>
    <w:rsid w:val="00BB0AF4"/>
    <w:rsid w:val="00BB0E7B"/>
    <w:rsid w:val="00BB1FA9"/>
    <w:rsid w:val="00BB2A13"/>
    <w:rsid w:val="00BB31FB"/>
    <w:rsid w:val="00BB3C96"/>
    <w:rsid w:val="00BB3D7E"/>
    <w:rsid w:val="00BB4109"/>
    <w:rsid w:val="00BB4914"/>
    <w:rsid w:val="00BB5455"/>
    <w:rsid w:val="00BB5715"/>
    <w:rsid w:val="00BB5961"/>
    <w:rsid w:val="00BB6BB2"/>
    <w:rsid w:val="00BB705D"/>
    <w:rsid w:val="00BB738E"/>
    <w:rsid w:val="00BB7530"/>
    <w:rsid w:val="00BB7AC3"/>
    <w:rsid w:val="00BB7FD6"/>
    <w:rsid w:val="00BC03EB"/>
    <w:rsid w:val="00BC0490"/>
    <w:rsid w:val="00BC0A73"/>
    <w:rsid w:val="00BC0A98"/>
    <w:rsid w:val="00BC0C31"/>
    <w:rsid w:val="00BC1142"/>
    <w:rsid w:val="00BC1943"/>
    <w:rsid w:val="00BC2842"/>
    <w:rsid w:val="00BC3105"/>
    <w:rsid w:val="00BC4AB0"/>
    <w:rsid w:val="00BC4C5F"/>
    <w:rsid w:val="00BC5425"/>
    <w:rsid w:val="00BC59D9"/>
    <w:rsid w:val="00BC6B84"/>
    <w:rsid w:val="00BC7494"/>
    <w:rsid w:val="00BC7818"/>
    <w:rsid w:val="00BC7981"/>
    <w:rsid w:val="00BD038E"/>
    <w:rsid w:val="00BD0454"/>
    <w:rsid w:val="00BD06FA"/>
    <w:rsid w:val="00BD0733"/>
    <w:rsid w:val="00BD0898"/>
    <w:rsid w:val="00BD09F2"/>
    <w:rsid w:val="00BD0D68"/>
    <w:rsid w:val="00BD1CBB"/>
    <w:rsid w:val="00BD1D0E"/>
    <w:rsid w:val="00BD226F"/>
    <w:rsid w:val="00BD23F8"/>
    <w:rsid w:val="00BD2484"/>
    <w:rsid w:val="00BD2523"/>
    <w:rsid w:val="00BD2569"/>
    <w:rsid w:val="00BD2BDD"/>
    <w:rsid w:val="00BD2D8D"/>
    <w:rsid w:val="00BD3125"/>
    <w:rsid w:val="00BD3126"/>
    <w:rsid w:val="00BD380C"/>
    <w:rsid w:val="00BD3A7A"/>
    <w:rsid w:val="00BD4682"/>
    <w:rsid w:val="00BD4DDA"/>
    <w:rsid w:val="00BD4EDA"/>
    <w:rsid w:val="00BD5084"/>
    <w:rsid w:val="00BD51D9"/>
    <w:rsid w:val="00BD543F"/>
    <w:rsid w:val="00BD5F89"/>
    <w:rsid w:val="00BD60CF"/>
    <w:rsid w:val="00BD6638"/>
    <w:rsid w:val="00BD74B3"/>
    <w:rsid w:val="00BD7DD8"/>
    <w:rsid w:val="00BE00F3"/>
    <w:rsid w:val="00BE0B10"/>
    <w:rsid w:val="00BE0B51"/>
    <w:rsid w:val="00BE0C66"/>
    <w:rsid w:val="00BE1654"/>
    <w:rsid w:val="00BE19DF"/>
    <w:rsid w:val="00BE20C3"/>
    <w:rsid w:val="00BE2100"/>
    <w:rsid w:val="00BE2222"/>
    <w:rsid w:val="00BE2707"/>
    <w:rsid w:val="00BE28D8"/>
    <w:rsid w:val="00BE3592"/>
    <w:rsid w:val="00BE3A96"/>
    <w:rsid w:val="00BE42B6"/>
    <w:rsid w:val="00BE42C6"/>
    <w:rsid w:val="00BE597E"/>
    <w:rsid w:val="00BE5B70"/>
    <w:rsid w:val="00BE63E3"/>
    <w:rsid w:val="00BE770A"/>
    <w:rsid w:val="00BE777C"/>
    <w:rsid w:val="00BE7C34"/>
    <w:rsid w:val="00BF0021"/>
    <w:rsid w:val="00BF0111"/>
    <w:rsid w:val="00BF016F"/>
    <w:rsid w:val="00BF0560"/>
    <w:rsid w:val="00BF1006"/>
    <w:rsid w:val="00BF1082"/>
    <w:rsid w:val="00BF163B"/>
    <w:rsid w:val="00BF185F"/>
    <w:rsid w:val="00BF2A05"/>
    <w:rsid w:val="00BF2EA7"/>
    <w:rsid w:val="00BF3129"/>
    <w:rsid w:val="00BF3FC2"/>
    <w:rsid w:val="00BF4224"/>
    <w:rsid w:val="00BF45EE"/>
    <w:rsid w:val="00BF470D"/>
    <w:rsid w:val="00BF477C"/>
    <w:rsid w:val="00BF4E14"/>
    <w:rsid w:val="00BF4E1A"/>
    <w:rsid w:val="00BF5556"/>
    <w:rsid w:val="00BF55B3"/>
    <w:rsid w:val="00BF5A23"/>
    <w:rsid w:val="00BF6C02"/>
    <w:rsid w:val="00C0010C"/>
    <w:rsid w:val="00C00117"/>
    <w:rsid w:val="00C0059F"/>
    <w:rsid w:val="00C00C63"/>
    <w:rsid w:val="00C01247"/>
    <w:rsid w:val="00C01D9E"/>
    <w:rsid w:val="00C01EE6"/>
    <w:rsid w:val="00C0216E"/>
    <w:rsid w:val="00C022FB"/>
    <w:rsid w:val="00C0257D"/>
    <w:rsid w:val="00C0272F"/>
    <w:rsid w:val="00C03737"/>
    <w:rsid w:val="00C03F89"/>
    <w:rsid w:val="00C04115"/>
    <w:rsid w:val="00C04339"/>
    <w:rsid w:val="00C043CF"/>
    <w:rsid w:val="00C05601"/>
    <w:rsid w:val="00C068C5"/>
    <w:rsid w:val="00C068FD"/>
    <w:rsid w:val="00C06A68"/>
    <w:rsid w:val="00C071A1"/>
    <w:rsid w:val="00C07208"/>
    <w:rsid w:val="00C0743D"/>
    <w:rsid w:val="00C0754E"/>
    <w:rsid w:val="00C10710"/>
    <w:rsid w:val="00C1099F"/>
    <w:rsid w:val="00C10CF1"/>
    <w:rsid w:val="00C110B3"/>
    <w:rsid w:val="00C11374"/>
    <w:rsid w:val="00C11FE3"/>
    <w:rsid w:val="00C12671"/>
    <w:rsid w:val="00C12CEF"/>
    <w:rsid w:val="00C13733"/>
    <w:rsid w:val="00C1393F"/>
    <w:rsid w:val="00C13AC6"/>
    <w:rsid w:val="00C143D7"/>
    <w:rsid w:val="00C149D3"/>
    <w:rsid w:val="00C14B71"/>
    <w:rsid w:val="00C14D7D"/>
    <w:rsid w:val="00C15410"/>
    <w:rsid w:val="00C1574C"/>
    <w:rsid w:val="00C16300"/>
    <w:rsid w:val="00C166CB"/>
    <w:rsid w:val="00C167B7"/>
    <w:rsid w:val="00C1742A"/>
    <w:rsid w:val="00C17B91"/>
    <w:rsid w:val="00C21282"/>
    <w:rsid w:val="00C234BE"/>
    <w:rsid w:val="00C23EDE"/>
    <w:rsid w:val="00C24848"/>
    <w:rsid w:val="00C24B57"/>
    <w:rsid w:val="00C24E73"/>
    <w:rsid w:val="00C256FE"/>
    <w:rsid w:val="00C25B1C"/>
    <w:rsid w:val="00C26174"/>
    <w:rsid w:val="00C26222"/>
    <w:rsid w:val="00C26345"/>
    <w:rsid w:val="00C26ACA"/>
    <w:rsid w:val="00C276F4"/>
    <w:rsid w:val="00C27785"/>
    <w:rsid w:val="00C27A30"/>
    <w:rsid w:val="00C30247"/>
    <w:rsid w:val="00C30A98"/>
    <w:rsid w:val="00C30BC8"/>
    <w:rsid w:val="00C30C52"/>
    <w:rsid w:val="00C30CC5"/>
    <w:rsid w:val="00C31CFF"/>
    <w:rsid w:val="00C32F3C"/>
    <w:rsid w:val="00C33CEA"/>
    <w:rsid w:val="00C33FFB"/>
    <w:rsid w:val="00C34473"/>
    <w:rsid w:val="00C350B8"/>
    <w:rsid w:val="00C364A8"/>
    <w:rsid w:val="00C369AF"/>
    <w:rsid w:val="00C36C7C"/>
    <w:rsid w:val="00C36D9A"/>
    <w:rsid w:val="00C3725A"/>
    <w:rsid w:val="00C40426"/>
    <w:rsid w:val="00C4072C"/>
    <w:rsid w:val="00C409CB"/>
    <w:rsid w:val="00C424C6"/>
    <w:rsid w:val="00C428FB"/>
    <w:rsid w:val="00C42B52"/>
    <w:rsid w:val="00C42B7B"/>
    <w:rsid w:val="00C43978"/>
    <w:rsid w:val="00C439BF"/>
    <w:rsid w:val="00C44088"/>
    <w:rsid w:val="00C441C3"/>
    <w:rsid w:val="00C445F2"/>
    <w:rsid w:val="00C44725"/>
    <w:rsid w:val="00C4484D"/>
    <w:rsid w:val="00C461AB"/>
    <w:rsid w:val="00C46314"/>
    <w:rsid w:val="00C46AED"/>
    <w:rsid w:val="00C474C3"/>
    <w:rsid w:val="00C47592"/>
    <w:rsid w:val="00C479F2"/>
    <w:rsid w:val="00C50277"/>
    <w:rsid w:val="00C50875"/>
    <w:rsid w:val="00C5119C"/>
    <w:rsid w:val="00C51264"/>
    <w:rsid w:val="00C51288"/>
    <w:rsid w:val="00C513D5"/>
    <w:rsid w:val="00C5150B"/>
    <w:rsid w:val="00C517C0"/>
    <w:rsid w:val="00C517FA"/>
    <w:rsid w:val="00C51A41"/>
    <w:rsid w:val="00C528A8"/>
    <w:rsid w:val="00C532E6"/>
    <w:rsid w:val="00C53A4A"/>
    <w:rsid w:val="00C544C0"/>
    <w:rsid w:val="00C55091"/>
    <w:rsid w:val="00C55E39"/>
    <w:rsid w:val="00C56957"/>
    <w:rsid w:val="00C56F51"/>
    <w:rsid w:val="00C60187"/>
    <w:rsid w:val="00C60518"/>
    <w:rsid w:val="00C60828"/>
    <w:rsid w:val="00C611CE"/>
    <w:rsid w:val="00C61967"/>
    <w:rsid w:val="00C61C1B"/>
    <w:rsid w:val="00C62EB4"/>
    <w:rsid w:val="00C636E1"/>
    <w:rsid w:val="00C6379F"/>
    <w:rsid w:val="00C63F2F"/>
    <w:rsid w:val="00C64743"/>
    <w:rsid w:val="00C6591B"/>
    <w:rsid w:val="00C65CAF"/>
    <w:rsid w:val="00C6683A"/>
    <w:rsid w:val="00C66877"/>
    <w:rsid w:val="00C66A6E"/>
    <w:rsid w:val="00C66CED"/>
    <w:rsid w:val="00C67126"/>
    <w:rsid w:val="00C67434"/>
    <w:rsid w:val="00C679AE"/>
    <w:rsid w:val="00C70855"/>
    <w:rsid w:val="00C7121B"/>
    <w:rsid w:val="00C71A54"/>
    <w:rsid w:val="00C71FEE"/>
    <w:rsid w:val="00C72784"/>
    <w:rsid w:val="00C72BA5"/>
    <w:rsid w:val="00C72EE4"/>
    <w:rsid w:val="00C72F14"/>
    <w:rsid w:val="00C73310"/>
    <w:rsid w:val="00C7334B"/>
    <w:rsid w:val="00C736DA"/>
    <w:rsid w:val="00C73976"/>
    <w:rsid w:val="00C73A7D"/>
    <w:rsid w:val="00C74990"/>
    <w:rsid w:val="00C74E40"/>
    <w:rsid w:val="00C75456"/>
    <w:rsid w:val="00C75526"/>
    <w:rsid w:val="00C75C40"/>
    <w:rsid w:val="00C76492"/>
    <w:rsid w:val="00C7676D"/>
    <w:rsid w:val="00C76956"/>
    <w:rsid w:val="00C76D09"/>
    <w:rsid w:val="00C7739F"/>
    <w:rsid w:val="00C77DF8"/>
    <w:rsid w:val="00C77F0B"/>
    <w:rsid w:val="00C8091E"/>
    <w:rsid w:val="00C80A0E"/>
    <w:rsid w:val="00C80B1B"/>
    <w:rsid w:val="00C81408"/>
    <w:rsid w:val="00C81C5E"/>
    <w:rsid w:val="00C81F76"/>
    <w:rsid w:val="00C8202A"/>
    <w:rsid w:val="00C82A19"/>
    <w:rsid w:val="00C82D3F"/>
    <w:rsid w:val="00C82E93"/>
    <w:rsid w:val="00C83001"/>
    <w:rsid w:val="00C83458"/>
    <w:rsid w:val="00C83600"/>
    <w:rsid w:val="00C83AC6"/>
    <w:rsid w:val="00C85379"/>
    <w:rsid w:val="00C85C56"/>
    <w:rsid w:val="00C86DCD"/>
    <w:rsid w:val="00C86FC4"/>
    <w:rsid w:val="00C87646"/>
    <w:rsid w:val="00C87E3F"/>
    <w:rsid w:val="00C87F94"/>
    <w:rsid w:val="00C9039D"/>
    <w:rsid w:val="00C9058B"/>
    <w:rsid w:val="00C9078B"/>
    <w:rsid w:val="00C90CD4"/>
    <w:rsid w:val="00C91259"/>
    <w:rsid w:val="00C914BC"/>
    <w:rsid w:val="00C931A4"/>
    <w:rsid w:val="00C93338"/>
    <w:rsid w:val="00C93551"/>
    <w:rsid w:val="00C93973"/>
    <w:rsid w:val="00C93D12"/>
    <w:rsid w:val="00C9488E"/>
    <w:rsid w:val="00C94C54"/>
    <w:rsid w:val="00C95D21"/>
    <w:rsid w:val="00C95FD9"/>
    <w:rsid w:val="00C96311"/>
    <w:rsid w:val="00C96D48"/>
    <w:rsid w:val="00C96E62"/>
    <w:rsid w:val="00C970E5"/>
    <w:rsid w:val="00C97766"/>
    <w:rsid w:val="00CA04C3"/>
    <w:rsid w:val="00CA0D29"/>
    <w:rsid w:val="00CA1B89"/>
    <w:rsid w:val="00CA1CC5"/>
    <w:rsid w:val="00CA23E0"/>
    <w:rsid w:val="00CA250F"/>
    <w:rsid w:val="00CA2C17"/>
    <w:rsid w:val="00CA348F"/>
    <w:rsid w:val="00CA377F"/>
    <w:rsid w:val="00CA39B9"/>
    <w:rsid w:val="00CA3AE2"/>
    <w:rsid w:val="00CA4752"/>
    <w:rsid w:val="00CA4B39"/>
    <w:rsid w:val="00CA54FB"/>
    <w:rsid w:val="00CA5F86"/>
    <w:rsid w:val="00CA60D2"/>
    <w:rsid w:val="00CA6AC8"/>
    <w:rsid w:val="00CB038D"/>
    <w:rsid w:val="00CB07D9"/>
    <w:rsid w:val="00CB0CAD"/>
    <w:rsid w:val="00CB134C"/>
    <w:rsid w:val="00CB165C"/>
    <w:rsid w:val="00CB193E"/>
    <w:rsid w:val="00CB194F"/>
    <w:rsid w:val="00CB1D35"/>
    <w:rsid w:val="00CB274E"/>
    <w:rsid w:val="00CB29D9"/>
    <w:rsid w:val="00CB33A3"/>
    <w:rsid w:val="00CB3C52"/>
    <w:rsid w:val="00CB3FD3"/>
    <w:rsid w:val="00CB4054"/>
    <w:rsid w:val="00CB4DF0"/>
    <w:rsid w:val="00CB5121"/>
    <w:rsid w:val="00CB51B8"/>
    <w:rsid w:val="00CB56D3"/>
    <w:rsid w:val="00CB5BFA"/>
    <w:rsid w:val="00CB6EA5"/>
    <w:rsid w:val="00CB7808"/>
    <w:rsid w:val="00CB7BFB"/>
    <w:rsid w:val="00CB7D5F"/>
    <w:rsid w:val="00CB7F86"/>
    <w:rsid w:val="00CC0828"/>
    <w:rsid w:val="00CC143B"/>
    <w:rsid w:val="00CC1484"/>
    <w:rsid w:val="00CC2D51"/>
    <w:rsid w:val="00CC2F6E"/>
    <w:rsid w:val="00CC3CE0"/>
    <w:rsid w:val="00CC4048"/>
    <w:rsid w:val="00CC49CC"/>
    <w:rsid w:val="00CC4F82"/>
    <w:rsid w:val="00CC5253"/>
    <w:rsid w:val="00CC63F0"/>
    <w:rsid w:val="00CC63F2"/>
    <w:rsid w:val="00CC6560"/>
    <w:rsid w:val="00CC711C"/>
    <w:rsid w:val="00CC751A"/>
    <w:rsid w:val="00CC77CF"/>
    <w:rsid w:val="00CC7C96"/>
    <w:rsid w:val="00CD04DF"/>
    <w:rsid w:val="00CD0B5C"/>
    <w:rsid w:val="00CD0BB6"/>
    <w:rsid w:val="00CD0BDE"/>
    <w:rsid w:val="00CD0CBF"/>
    <w:rsid w:val="00CD1A4D"/>
    <w:rsid w:val="00CD1ADC"/>
    <w:rsid w:val="00CD1DD7"/>
    <w:rsid w:val="00CD2226"/>
    <w:rsid w:val="00CD274B"/>
    <w:rsid w:val="00CD2920"/>
    <w:rsid w:val="00CD29EE"/>
    <w:rsid w:val="00CD2F37"/>
    <w:rsid w:val="00CD30AE"/>
    <w:rsid w:val="00CD34AE"/>
    <w:rsid w:val="00CD3A53"/>
    <w:rsid w:val="00CD40C9"/>
    <w:rsid w:val="00CD4C7C"/>
    <w:rsid w:val="00CD4FBE"/>
    <w:rsid w:val="00CD5087"/>
    <w:rsid w:val="00CD57E2"/>
    <w:rsid w:val="00CD5BA2"/>
    <w:rsid w:val="00CD5C6C"/>
    <w:rsid w:val="00CD5F3E"/>
    <w:rsid w:val="00CD610F"/>
    <w:rsid w:val="00CD6610"/>
    <w:rsid w:val="00CD6A85"/>
    <w:rsid w:val="00CD6DD0"/>
    <w:rsid w:val="00CD6F35"/>
    <w:rsid w:val="00CD72B0"/>
    <w:rsid w:val="00CD730A"/>
    <w:rsid w:val="00CD745D"/>
    <w:rsid w:val="00CD7E72"/>
    <w:rsid w:val="00CE00DD"/>
    <w:rsid w:val="00CE0305"/>
    <w:rsid w:val="00CE1026"/>
    <w:rsid w:val="00CE1231"/>
    <w:rsid w:val="00CE1430"/>
    <w:rsid w:val="00CE1A15"/>
    <w:rsid w:val="00CE287D"/>
    <w:rsid w:val="00CE3928"/>
    <w:rsid w:val="00CE4110"/>
    <w:rsid w:val="00CE46DB"/>
    <w:rsid w:val="00CE5025"/>
    <w:rsid w:val="00CE69CA"/>
    <w:rsid w:val="00CE713E"/>
    <w:rsid w:val="00CE745A"/>
    <w:rsid w:val="00CE750D"/>
    <w:rsid w:val="00CE762D"/>
    <w:rsid w:val="00CE7916"/>
    <w:rsid w:val="00CE7D20"/>
    <w:rsid w:val="00CE7DF5"/>
    <w:rsid w:val="00CF05E3"/>
    <w:rsid w:val="00CF07C6"/>
    <w:rsid w:val="00CF13CD"/>
    <w:rsid w:val="00CF1627"/>
    <w:rsid w:val="00CF178C"/>
    <w:rsid w:val="00CF17A4"/>
    <w:rsid w:val="00CF1903"/>
    <w:rsid w:val="00CF1A33"/>
    <w:rsid w:val="00CF1A4B"/>
    <w:rsid w:val="00CF1EBC"/>
    <w:rsid w:val="00CF24CC"/>
    <w:rsid w:val="00CF250D"/>
    <w:rsid w:val="00CF2B57"/>
    <w:rsid w:val="00CF2DFA"/>
    <w:rsid w:val="00CF2EA5"/>
    <w:rsid w:val="00CF2ED8"/>
    <w:rsid w:val="00CF379E"/>
    <w:rsid w:val="00CF3A43"/>
    <w:rsid w:val="00CF3F31"/>
    <w:rsid w:val="00CF44DE"/>
    <w:rsid w:val="00CF51BE"/>
    <w:rsid w:val="00CF558A"/>
    <w:rsid w:val="00CF59CA"/>
    <w:rsid w:val="00CF5BDA"/>
    <w:rsid w:val="00CF636C"/>
    <w:rsid w:val="00CF6B85"/>
    <w:rsid w:val="00CF7236"/>
    <w:rsid w:val="00CF7926"/>
    <w:rsid w:val="00CF7E23"/>
    <w:rsid w:val="00D00228"/>
    <w:rsid w:val="00D00E5D"/>
    <w:rsid w:val="00D00F7A"/>
    <w:rsid w:val="00D00F87"/>
    <w:rsid w:val="00D0141D"/>
    <w:rsid w:val="00D016BB"/>
    <w:rsid w:val="00D01A77"/>
    <w:rsid w:val="00D01C68"/>
    <w:rsid w:val="00D02311"/>
    <w:rsid w:val="00D02682"/>
    <w:rsid w:val="00D02752"/>
    <w:rsid w:val="00D02E7A"/>
    <w:rsid w:val="00D02EB2"/>
    <w:rsid w:val="00D030B9"/>
    <w:rsid w:val="00D04485"/>
    <w:rsid w:val="00D047F2"/>
    <w:rsid w:val="00D05399"/>
    <w:rsid w:val="00D05489"/>
    <w:rsid w:val="00D058C8"/>
    <w:rsid w:val="00D067D0"/>
    <w:rsid w:val="00D067FC"/>
    <w:rsid w:val="00D078ED"/>
    <w:rsid w:val="00D1018F"/>
    <w:rsid w:val="00D10436"/>
    <w:rsid w:val="00D10B37"/>
    <w:rsid w:val="00D10EFE"/>
    <w:rsid w:val="00D10FA8"/>
    <w:rsid w:val="00D1116D"/>
    <w:rsid w:val="00D114AD"/>
    <w:rsid w:val="00D11501"/>
    <w:rsid w:val="00D11E92"/>
    <w:rsid w:val="00D11F25"/>
    <w:rsid w:val="00D121D8"/>
    <w:rsid w:val="00D128B3"/>
    <w:rsid w:val="00D1291A"/>
    <w:rsid w:val="00D12D94"/>
    <w:rsid w:val="00D1309D"/>
    <w:rsid w:val="00D133A7"/>
    <w:rsid w:val="00D13705"/>
    <w:rsid w:val="00D13D6D"/>
    <w:rsid w:val="00D13FC3"/>
    <w:rsid w:val="00D14A88"/>
    <w:rsid w:val="00D14B19"/>
    <w:rsid w:val="00D1640E"/>
    <w:rsid w:val="00D16B53"/>
    <w:rsid w:val="00D16CBC"/>
    <w:rsid w:val="00D16D29"/>
    <w:rsid w:val="00D1733E"/>
    <w:rsid w:val="00D1765A"/>
    <w:rsid w:val="00D17EAF"/>
    <w:rsid w:val="00D20440"/>
    <w:rsid w:val="00D209EB"/>
    <w:rsid w:val="00D20BD6"/>
    <w:rsid w:val="00D20E17"/>
    <w:rsid w:val="00D20FB5"/>
    <w:rsid w:val="00D212A6"/>
    <w:rsid w:val="00D2158F"/>
    <w:rsid w:val="00D21709"/>
    <w:rsid w:val="00D21838"/>
    <w:rsid w:val="00D228DA"/>
    <w:rsid w:val="00D24A2E"/>
    <w:rsid w:val="00D24EDC"/>
    <w:rsid w:val="00D24F0C"/>
    <w:rsid w:val="00D252CF"/>
    <w:rsid w:val="00D25638"/>
    <w:rsid w:val="00D25B72"/>
    <w:rsid w:val="00D26341"/>
    <w:rsid w:val="00D263C7"/>
    <w:rsid w:val="00D30295"/>
    <w:rsid w:val="00D30359"/>
    <w:rsid w:val="00D30CF6"/>
    <w:rsid w:val="00D32032"/>
    <w:rsid w:val="00D326CE"/>
    <w:rsid w:val="00D32B45"/>
    <w:rsid w:val="00D337D4"/>
    <w:rsid w:val="00D3417C"/>
    <w:rsid w:val="00D343CB"/>
    <w:rsid w:val="00D34D13"/>
    <w:rsid w:val="00D358B5"/>
    <w:rsid w:val="00D35973"/>
    <w:rsid w:val="00D35CD3"/>
    <w:rsid w:val="00D3610F"/>
    <w:rsid w:val="00D3698C"/>
    <w:rsid w:val="00D36A1D"/>
    <w:rsid w:val="00D36A69"/>
    <w:rsid w:val="00D36C07"/>
    <w:rsid w:val="00D375A6"/>
    <w:rsid w:val="00D376FB"/>
    <w:rsid w:val="00D3787E"/>
    <w:rsid w:val="00D37CA3"/>
    <w:rsid w:val="00D400EB"/>
    <w:rsid w:val="00D406AE"/>
    <w:rsid w:val="00D40A46"/>
    <w:rsid w:val="00D41292"/>
    <w:rsid w:val="00D4211A"/>
    <w:rsid w:val="00D42634"/>
    <w:rsid w:val="00D42E19"/>
    <w:rsid w:val="00D43C51"/>
    <w:rsid w:val="00D43E25"/>
    <w:rsid w:val="00D45222"/>
    <w:rsid w:val="00D45B46"/>
    <w:rsid w:val="00D468FF"/>
    <w:rsid w:val="00D46CDF"/>
    <w:rsid w:val="00D46F08"/>
    <w:rsid w:val="00D47475"/>
    <w:rsid w:val="00D502F2"/>
    <w:rsid w:val="00D50B00"/>
    <w:rsid w:val="00D50D78"/>
    <w:rsid w:val="00D50DBD"/>
    <w:rsid w:val="00D51528"/>
    <w:rsid w:val="00D5194B"/>
    <w:rsid w:val="00D51CF0"/>
    <w:rsid w:val="00D53809"/>
    <w:rsid w:val="00D538F0"/>
    <w:rsid w:val="00D53BBC"/>
    <w:rsid w:val="00D544B8"/>
    <w:rsid w:val="00D544E1"/>
    <w:rsid w:val="00D546B0"/>
    <w:rsid w:val="00D550C4"/>
    <w:rsid w:val="00D55381"/>
    <w:rsid w:val="00D561F0"/>
    <w:rsid w:val="00D568EC"/>
    <w:rsid w:val="00D571AA"/>
    <w:rsid w:val="00D5729F"/>
    <w:rsid w:val="00D576E3"/>
    <w:rsid w:val="00D60DE6"/>
    <w:rsid w:val="00D61085"/>
    <w:rsid w:val="00D628DB"/>
    <w:rsid w:val="00D62CFF"/>
    <w:rsid w:val="00D62ED6"/>
    <w:rsid w:val="00D62FF6"/>
    <w:rsid w:val="00D6319D"/>
    <w:rsid w:val="00D63244"/>
    <w:rsid w:val="00D63511"/>
    <w:rsid w:val="00D63A20"/>
    <w:rsid w:val="00D63D5F"/>
    <w:rsid w:val="00D64240"/>
    <w:rsid w:val="00D645AD"/>
    <w:rsid w:val="00D64658"/>
    <w:rsid w:val="00D648E9"/>
    <w:rsid w:val="00D6499E"/>
    <w:rsid w:val="00D64EBD"/>
    <w:rsid w:val="00D65377"/>
    <w:rsid w:val="00D656A2"/>
    <w:rsid w:val="00D656D4"/>
    <w:rsid w:val="00D65CA5"/>
    <w:rsid w:val="00D6646E"/>
    <w:rsid w:val="00D667F2"/>
    <w:rsid w:val="00D66A9E"/>
    <w:rsid w:val="00D66AB5"/>
    <w:rsid w:val="00D66BDC"/>
    <w:rsid w:val="00D670F2"/>
    <w:rsid w:val="00D67502"/>
    <w:rsid w:val="00D675DC"/>
    <w:rsid w:val="00D67D62"/>
    <w:rsid w:val="00D700B6"/>
    <w:rsid w:val="00D700E1"/>
    <w:rsid w:val="00D701EF"/>
    <w:rsid w:val="00D71086"/>
    <w:rsid w:val="00D71136"/>
    <w:rsid w:val="00D71404"/>
    <w:rsid w:val="00D72043"/>
    <w:rsid w:val="00D727CC"/>
    <w:rsid w:val="00D72848"/>
    <w:rsid w:val="00D7296C"/>
    <w:rsid w:val="00D72A30"/>
    <w:rsid w:val="00D73622"/>
    <w:rsid w:val="00D73982"/>
    <w:rsid w:val="00D739AC"/>
    <w:rsid w:val="00D73ABE"/>
    <w:rsid w:val="00D74610"/>
    <w:rsid w:val="00D7463C"/>
    <w:rsid w:val="00D74ACC"/>
    <w:rsid w:val="00D74CC8"/>
    <w:rsid w:val="00D74F3B"/>
    <w:rsid w:val="00D754D1"/>
    <w:rsid w:val="00D75ACF"/>
    <w:rsid w:val="00D76447"/>
    <w:rsid w:val="00D76542"/>
    <w:rsid w:val="00D76B1F"/>
    <w:rsid w:val="00D76E17"/>
    <w:rsid w:val="00D76E97"/>
    <w:rsid w:val="00D76E99"/>
    <w:rsid w:val="00D77C71"/>
    <w:rsid w:val="00D77FEF"/>
    <w:rsid w:val="00D80462"/>
    <w:rsid w:val="00D80507"/>
    <w:rsid w:val="00D805FD"/>
    <w:rsid w:val="00D80D75"/>
    <w:rsid w:val="00D818CF"/>
    <w:rsid w:val="00D81EBF"/>
    <w:rsid w:val="00D82332"/>
    <w:rsid w:val="00D8343A"/>
    <w:rsid w:val="00D83833"/>
    <w:rsid w:val="00D83864"/>
    <w:rsid w:val="00D83A70"/>
    <w:rsid w:val="00D846AA"/>
    <w:rsid w:val="00D84B7B"/>
    <w:rsid w:val="00D858FB"/>
    <w:rsid w:val="00D8598F"/>
    <w:rsid w:val="00D85CBD"/>
    <w:rsid w:val="00D86946"/>
    <w:rsid w:val="00D86AD2"/>
    <w:rsid w:val="00D86B4F"/>
    <w:rsid w:val="00D87A30"/>
    <w:rsid w:val="00D9093F"/>
    <w:rsid w:val="00D91350"/>
    <w:rsid w:val="00D91673"/>
    <w:rsid w:val="00D91729"/>
    <w:rsid w:val="00D91C96"/>
    <w:rsid w:val="00D91EBC"/>
    <w:rsid w:val="00D9231E"/>
    <w:rsid w:val="00D92DAE"/>
    <w:rsid w:val="00D93235"/>
    <w:rsid w:val="00D932FE"/>
    <w:rsid w:val="00D94BF0"/>
    <w:rsid w:val="00D94FD7"/>
    <w:rsid w:val="00D952F9"/>
    <w:rsid w:val="00D95FA4"/>
    <w:rsid w:val="00D962EB"/>
    <w:rsid w:val="00D96C4D"/>
    <w:rsid w:val="00D96D21"/>
    <w:rsid w:val="00D97152"/>
    <w:rsid w:val="00D972C5"/>
    <w:rsid w:val="00D97CCA"/>
    <w:rsid w:val="00D97D29"/>
    <w:rsid w:val="00D97DCF"/>
    <w:rsid w:val="00DA08F3"/>
    <w:rsid w:val="00DA0E00"/>
    <w:rsid w:val="00DA1293"/>
    <w:rsid w:val="00DA1A63"/>
    <w:rsid w:val="00DA1C43"/>
    <w:rsid w:val="00DA1DEE"/>
    <w:rsid w:val="00DA1EF5"/>
    <w:rsid w:val="00DA2307"/>
    <w:rsid w:val="00DA32DA"/>
    <w:rsid w:val="00DA356D"/>
    <w:rsid w:val="00DA375A"/>
    <w:rsid w:val="00DA439A"/>
    <w:rsid w:val="00DA470E"/>
    <w:rsid w:val="00DA4FB7"/>
    <w:rsid w:val="00DA5914"/>
    <w:rsid w:val="00DA661D"/>
    <w:rsid w:val="00DA6E6C"/>
    <w:rsid w:val="00DA6EBD"/>
    <w:rsid w:val="00DA70EC"/>
    <w:rsid w:val="00DA7287"/>
    <w:rsid w:val="00DA7808"/>
    <w:rsid w:val="00DB0385"/>
    <w:rsid w:val="00DB089A"/>
    <w:rsid w:val="00DB0BB6"/>
    <w:rsid w:val="00DB1ECF"/>
    <w:rsid w:val="00DB29D0"/>
    <w:rsid w:val="00DB32A2"/>
    <w:rsid w:val="00DB3685"/>
    <w:rsid w:val="00DB396C"/>
    <w:rsid w:val="00DB3D71"/>
    <w:rsid w:val="00DB4049"/>
    <w:rsid w:val="00DB4154"/>
    <w:rsid w:val="00DB4AA9"/>
    <w:rsid w:val="00DB4AC7"/>
    <w:rsid w:val="00DB4EC8"/>
    <w:rsid w:val="00DB5EE1"/>
    <w:rsid w:val="00DB6153"/>
    <w:rsid w:val="00DB66EE"/>
    <w:rsid w:val="00DB69F1"/>
    <w:rsid w:val="00DB71A2"/>
    <w:rsid w:val="00DB71D5"/>
    <w:rsid w:val="00DB7277"/>
    <w:rsid w:val="00DB7759"/>
    <w:rsid w:val="00DB7A62"/>
    <w:rsid w:val="00DB7CB8"/>
    <w:rsid w:val="00DC002A"/>
    <w:rsid w:val="00DC0246"/>
    <w:rsid w:val="00DC06DE"/>
    <w:rsid w:val="00DC0AF7"/>
    <w:rsid w:val="00DC1759"/>
    <w:rsid w:val="00DC17C9"/>
    <w:rsid w:val="00DC1A3B"/>
    <w:rsid w:val="00DC1D20"/>
    <w:rsid w:val="00DC22EB"/>
    <w:rsid w:val="00DC2901"/>
    <w:rsid w:val="00DC37B3"/>
    <w:rsid w:val="00DC3D7A"/>
    <w:rsid w:val="00DC499A"/>
    <w:rsid w:val="00DC4A66"/>
    <w:rsid w:val="00DC4AC5"/>
    <w:rsid w:val="00DC4C3B"/>
    <w:rsid w:val="00DC4C62"/>
    <w:rsid w:val="00DC4F33"/>
    <w:rsid w:val="00DC4FDE"/>
    <w:rsid w:val="00DC5722"/>
    <w:rsid w:val="00DC5812"/>
    <w:rsid w:val="00DC63D8"/>
    <w:rsid w:val="00DC6400"/>
    <w:rsid w:val="00DC66AC"/>
    <w:rsid w:val="00DC67C8"/>
    <w:rsid w:val="00DC6D02"/>
    <w:rsid w:val="00DC6D9A"/>
    <w:rsid w:val="00DC706A"/>
    <w:rsid w:val="00DC70F0"/>
    <w:rsid w:val="00DC7176"/>
    <w:rsid w:val="00DC72A6"/>
    <w:rsid w:val="00DD003A"/>
    <w:rsid w:val="00DD036B"/>
    <w:rsid w:val="00DD04EF"/>
    <w:rsid w:val="00DD0B3F"/>
    <w:rsid w:val="00DD1158"/>
    <w:rsid w:val="00DD136A"/>
    <w:rsid w:val="00DD1A7C"/>
    <w:rsid w:val="00DD21C1"/>
    <w:rsid w:val="00DD23E2"/>
    <w:rsid w:val="00DD2D9A"/>
    <w:rsid w:val="00DD3148"/>
    <w:rsid w:val="00DD4014"/>
    <w:rsid w:val="00DD42DB"/>
    <w:rsid w:val="00DD4721"/>
    <w:rsid w:val="00DD4820"/>
    <w:rsid w:val="00DD4869"/>
    <w:rsid w:val="00DD49CB"/>
    <w:rsid w:val="00DD55CE"/>
    <w:rsid w:val="00DD5733"/>
    <w:rsid w:val="00DD6087"/>
    <w:rsid w:val="00DD6BD9"/>
    <w:rsid w:val="00DD6EEF"/>
    <w:rsid w:val="00DD7DA4"/>
    <w:rsid w:val="00DD7E8D"/>
    <w:rsid w:val="00DE0C81"/>
    <w:rsid w:val="00DE12C7"/>
    <w:rsid w:val="00DE17B1"/>
    <w:rsid w:val="00DE18CA"/>
    <w:rsid w:val="00DE18FD"/>
    <w:rsid w:val="00DE19C1"/>
    <w:rsid w:val="00DE28A1"/>
    <w:rsid w:val="00DE2A82"/>
    <w:rsid w:val="00DE346C"/>
    <w:rsid w:val="00DE431D"/>
    <w:rsid w:val="00DE479F"/>
    <w:rsid w:val="00DE4C33"/>
    <w:rsid w:val="00DE5277"/>
    <w:rsid w:val="00DE5350"/>
    <w:rsid w:val="00DE5AEB"/>
    <w:rsid w:val="00DE62C1"/>
    <w:rsid w:val="00DE64B8"/>
    <w:rsid w:val="00DE6F67"/>
    <w:rsid w:val="00DE7287"/>
    <w:rsid w:val="00DE7345"/>
    <w:rsid w:val="00DE74F3"/>
    <w:rsid w:val="00DE7924"/>
    <w:rsid w:val="00DE7C67"/>
    <w:rsid w:val="00DE7FDB"/>
    <w:rsid w:val="00DF0546"/>
    <w:rsid w:val="00DF09D3"/>
    <w:rsid w:val="00DF0C20"/>
    <w:rsid w:val="00DF1FD6"/>
    <w:rsid w:val="00DF218E"/>
    <w:rsid w:val="00DF2F6E"/>
    <w:rsid w:val="00DF363B"/>
    <w:rsid w:val="00DF448A"/>
    <w:rsid w:val="00DF4E72"/>
    <w:rsid w:val="00DF5698"/>
    <w:rsid w:val="00DF5826"/>
    <w:rsid w:val="00DF6701"/>
    <w:rsid w:val="00DF69AF"/>
    <w:rsid w:val="00DF6F52"/>
    <w:rsid w:val="00DF7D07"/>
    <w:rsid w:val="00E00A3C"/>
    <w:rsid w:val="00E01367"/>
    <w:rsid w:val="00E017E6"/>
    <w:rsid w:val="00E0186F"/>
    <w:rsid w:val="00E025E5"/>
    <w:rsid w:val="00E02FAF"/>
    <w:rsid w:val="00E0365A"/>
    <w:rsid w:val="00E03E53"/>
    <w:rsid w:val="00E04C52"/>
    <w:rsid w:val="00E05A80"/>
    <w:rsid w:val="00E0650A"/>
    <w:rsid w:val="00E06528"/>
    <w:rsid w:val="00E06D6C"/>
    <w:rsid w:val="00E06FE3"/>
    <w:rsid w:val="00E07023"/>
    <w:rsid w:val="00E07E03"/>
    <w:rsid w:val="00E100CE"/>
    <w:rsid w:val="00E104CF"/>
    <w:rsid w:val="00E11A08"/>
    <w:rsid w:val="00E11EA2"/>
    <w:rsid w:val="00E1279D"/>
    <w:rsid w:val="00E12934"/>
    <w:rsid w:val="00E12996"/>
    <w:rsid w:val="00E12BF6"/>
    <w:rsid w:val="00E12EB3"/>
    <w:rsid w:val="00E132FA"/>
    <w:rsid w:val="00E135EC"/>
    <w:rsid w:val="00E1373B"/>
    <w:rsid w:val="00E13815"/>
    <w:rsid w:val="00E140EF"/>
    <w:rsid w:val="00E14320"/>
    <w:rsid w:val="00E14437"/>
    <w:rsid w:val="00E14652"/>
    <w:rsid w:val="00E14DD0"/>
    <w:rsid w:val="00E14E08"/>
    <w:rsid w:val="00E14FB7"/>
    <w:rsid w:val="00E1526E"/>
    <w:rsid w:val="00E156B2"/>
    <w:rsid w:val="00E15BE8"/>
    <w:rsid w:val="00E17152"/>
    <w:rsid w:val="00E206A6"/>
    <w:rsid w:val="00E20C50"/>
    <w:rsid w:val="00E211F0"/>
    <w:rsid w:val="00E222B6"/>
    <w:rsid w:val="00E2331F"/>
    <w:rsid w:val="00E23368"/>
    <w:rsid w:val="00E2358E"/>
    <w:rsid w:val="00E23D87"/>
    <w:rsid w:val="00E240D8"/>
    <w:rsid w:val="00E245CB"/>
    <w:rsid w:val="00E24AB6"/>
    <w:rsid w:val="00E25012"/>
    <w:rsid w:val="00E253F0"/>
    <w:rsid w:val="00E2647C"/>
    <w:rsid w:val="00E26A5C"/>
    <w:rsid w:val="00E26F6C"/>
    <w:rsid w:val="00E27005"/>
    <w:rsid w:val="00E27C58"/>
    <w:rsid w:val="00E30AF5"/>
    <w:rsid w:val="00E30CB9"/>
    <w:rsid w:val="00E31433"/>
    <w:rsid w:val="00E3181B"/>
    <w:rsid w:val="00E31A68"/>
    <w:rsid w:val="00E31AD7"/>
    <w:rsid w:val="00E31D05"/>
    <w:rsid w:val="00E31E02"/>
    <w:rsid w:val="00E31F68"/>
    <w:rsid w:val="00E3201D"/>
    <w:rsid w:val="00E32049"/>
    <w:rsid w:val="00E3220C"/>
    <w:rsid w:val="00E3374C"/>
    <w:rsid w:val="00E33E46"/>
    <w:rsid w:val="00E34470"/>
    <w:rsid w:val="00E34507"/>
    <w:rsid w:val="00E34638"/>
    <w:rsid w:val="00E34D09"/>
    <w:rsid w:val="00E34F5F"/>
    <w:rsid w:val="00E35115"/>
    <w:rsid w:val="00E353AB"/>
    <w:rsid w:val="00E36A1D"/>
    <w:rsid w:val="00E36D9C"/>
    <w:rsid w:val="00E36DEB"/>
    <w:rsid w:val="00E371DC"/>
    <w:rsid w:val="00E37620"/>
    <w:rsid w:val="00E37DF5"/>
    <w:rsid w:val="00E37F27"/>
    <w:rsid w:val="00E40576"/>
    <w:rsid w:val="00E4068A"/>
    <w:rsid w:val="00E40E29"/>
    <w:rsid w:val="00E40EB8"/>
    <w:rsid w:val="00E4113C"/>
    <w:rsid w:val="00E41785"/>
    <w:rsid w:val="00E4178D"/>
    <w:rsid w:val="00E428C4"/>
    <w:rsid w:val="00E42D07"/>
    <w:rsid w:val="00E43A71"/>
    <w:rsid w:val="00E448A7"/>
    <w:rsid w:val="00E44B36"/>
    <w:rsid w:val="00E44EE3"/>
    <w:rsid w:val="00E45CBE"/>
    <w:rsid w:val="00E45E20"/>
    <w:rsid w:val="00E469A5"/>
    <w:rsid w:val="00E5021E"/>
    <w:rsid w:val="00E50334"/>
    <w:rsid w:val="00E50497"/>
    <w:rsid w:val="00E50751"/>
    <w:rsid w:val="00E51EAA"/>
    <w:rsid w:val="00E52861"/>
    <w:rsid w:val="00E5316D"/>
    <w:rsid w:val="00E5360D"/>
    <w:rsid w:val="00E53AF1"/>
    <w:rsid w:val="00E53B92"/>
    <w:rsid w:val="00E53E5F"/>
    <w:rsid w:val="00E54444"/>
    <w:rsid w:val="00E54942"/>
    <w:rsid w:val="00E54FAD"/>
    <w:rsid w:val="00E55912"/>
    <w:rsid w:val="00E55F7C"/>
    <w:rsid w:val="00E5602E"/>
    <w:rsid w:val="00E56080"/>
    <w:rsid w:val="00E60D4C"/>
    <w:rsid w:val="00E61119"/>
    <w:rsid w:val="00E61644"/>
    <w:rsid w:val="00E6211B"/>
    <w:rsid w:val="00E62555"/>
    <w:rsid w:val="00E63064"/>
    <w:rsid w:val="00E64ADC"/>
    <w:rsid w:val="00E64DD8"/>
    <w:rsid w:val="00E64F66"/>
    <w:rsid w:val="00E656BE"/>
    <w:rsid w:val="00E65C34"/>
    <w:rsid w:val="00E65C4D"/>
    <w:rsid w:val="00E6669B"/>
    <w:rsid w:val="00E66808"/>
    <w:rsid w:val="00E67324"/>
    <w:rsid w:val="00E673CF"/>
    <w:rsid w:val="00E6746C"/>
    <w:rsid w:val="00E67EF5"/>
    <w:rsid w:val="00E706E4"/>
    <w:rsid w:val="00E7075A"/>
    <w:rsid w:val="00E707BD"/>
    <w:rsid w:val="00E709CD"/>
    <w:rsid w:val="00E70A76"/>
    <w:rsid w:val="00E70CD9"/>
    <w:rsid w:val="00E71001"/>
    <w:rsid w:val="00E71A72"/>
    <w:rsid w:val="00E71E78"/>
    <w:rsid w:val="00E7209D"/>
    <w:rsid w:val="00E72E15"/>
    <w:rsid w:val="00E732D3"/>
    <w:rsid w:val="00E7332E"/>
    <w:rsid w:val="00E73362"/>
    <w:rsid w:val="00E7441B"/>
    <w:rsid w:val="00E74943"/>
    <w:rsid w:val="00E75417"/>
    <w:rsid w:val="00E7560F"/>
    <w:rsid w:val="00E75AB6"/>
    <w:rsid w:val="00E75ED6"/>
    <w:rsid w:val="00E76FCE"/>
    <w:rsid w:val="00E77353"/>
    <w:rsid w:val="00E775A3"/>
    <w:rsid w:val="00E77C00"/>
    <w:rsid w:val="00E8026E"/>
    <w:rsid w:val="00E80294"/>
    <w:rsid w:val="00E80BDD"/>
    <w:rsid w:val="00E80D51"/>
    <w:rsid w:val="00E81156"/>
    <w:rsid w:val="00E812BD"/>
    <w:rsid w:val="00E814B3"/>
    <w:rsid w:val="00E82601"/>
    <w:rsid w:val="00E82987"/>
    <w:rsid w:val="00E82CF4"/>
    <w:rsid w:val="00E82EF4"/>
    <w:rsid w:val="00E83412"/>
    <w:rsid w:val="00E83E66"/>
    <w:rsid w:val="00E84091"/>
    <w:rsid w:val="00E8425A"/>
    <w:rsid w:val="00E8484A"/>
    <w:rsid w:val="00E8532D"/>
    <w:rsid w:val="00E85661"/>
    <w:rsid w:val="00E85675"/>
    <w:rsid w:val="00E859BC"/>
    <w:rsid w:val="00E85D23"/>
    <w:rsid w:val="00E85D60"/>
    <w:rsid w:val="00E86611"/>
    <w:rsid w:val="00E86859"/>
    <w:rsid w:val="00E9186F"/>
    <w:rsid w:val="00E91E80"/>
    <w:rsid w:val="00E92DEC"/>
    <w:rsid w:val="00E92FCD"/>
    <w:rsid w:val="00E930C9"/>
    <w:rsid w:val="00E93A91"/>
    <w:rsid w:val="00E943AA"/>
    <w:rsid w:val="00E945BA"/>
    <w:rsid w:val="00E94A84"/>
    <w:rsid w:val="00E965D2"/>
    <w:rsid w:val="00E966F1"/>
    <w:rsid w:val="00E96A74"/>
    <w:rsid w:val="00E96BA4"/>
    <w:rsid w:val="00E9795E"/>
    <w:rsid w:val="00EA01A8"/>
    <w:rsid w:val="00EA0746"/>
    <w:rsid w:val="00EA09BD"/>
    <w:rsid w:val="00EA15CC"/>
    <w:rsid w:val="00EA21DB"/>
    <w:rsid w:val="00EA2A52"/>
    <w:rsid w:val="00EA2AF0"/>
    <w:rsid w:val="00EA3011"/>
    <w:rsid w:val="00EA3314"/>
    <w:rsid w:val="00EA3C5F"/>
    <w:rsid w:val="00EA3FC4"/>
    <w:rsid w:val="00EA4FD9"/>
    <w:rsid w:val="00EA52CC"/>
    <w:rsid w:val="00EA53E9"/>
    <w:rsid w:val="00EA54A6"/>
    <w:rsid w:val="00EA5AD3"/>
    <w:rsid w:val="00EA65E4"/>
    <w:rsid w:val="00EA7B41"/>
    <w:rsid w:val="00EB047C"/>
    <w:rsid w:val="00EB04C1"/>
    <w:rsid w:val="00EB0938"/>
    <w:rsid w:val="00EB0D1A"/>
    <w:rsid w:val="00EB0F0A"/>
    <w:rsid w:val="00EB12B3"/>
    <w:rsid w:val="00EB1D13"/>
    <w:rsid w:val="00EB22F9"/>
    <w:rsid w:val="00EB266B"/>
    <w:rsid w:val="00EB30C0"/>
    <w:rsid w:val="00EB39F6"/>
    <w:rsid w:val="00EB4784"/>
    <w:rsid w:val="00EB4DC9"/>
    <w:rsid w:val="00EB5275"/>
    <w:rsid w:val="00EB5404"/>
    <w:rsid w:val="00EB5E5F"/>
    <w:rsid w:val="00EB65DF"/>
    <w:rsid w:val="00EB6D0F"/>
    <w:rsid w:val="00EB6D52"/>
    <w:rsid w:val="00EB7468"/>
    <w:rsid w:val="00EB7730"/>
    <w:rsid w:val="00EB7875"/>
    <w:rsid w:val="00EC055D"/>
    <w:rsid w:val="00EC108C"/>
    <w:rsid w:val="00EC10FC"/>
    <w:rsid w:val="00EC135F"/>
    <w:rsid w:val="00EC1A2E"/>
    <w:rsid w:val="00EC1BED"/>
    <w:rsid w:val="00EC1D99"/>
    <w:rsid w:val="00EC24BE"/>
    <w:rsid w:val="00EC2796"/>
    <w:rsid w:val="00EC31C1"/>
    <w:rsid w:val="00EC460B"/>
    <w:rsid w:val="00EC49DD"/>
    <w:rsid w:val="00EC4A32"/>
    <w:rsid w:val="00EC4C27"/>
    <w:rsid w:val="00EC4C49"/>
    <w:rsid w:val="00EC4DB2"/>
    <w:rsid w:val="00EC58A9"/>
    <w:rsid w:val="00EC5A86"/>
    <w:rsid w:val="00EC61D2"/>
    <w:rsid w:val="00EC7623"/>
    <w:rsid w:val="00EC77B6"/>
    <w:rsid w:val="00EC7961"/>
    <w:rsid w:val="00EC7FB3"/>
    <w:rsid w:val="00ED00F8"/>
    <w:rsid w:val="00ED023D"/>
    <w:rsid w:val="00ED1131"/>
    <w:rsid w:val="00ED15A6"/>
    <w:rsid w:val="00ED1D88"/>
    <w:rsid w:val="00ED21C8"/>
    <w:rsid w:val="00ED2A9D"/>
    <w:rsid w:val="00ED2E63"/>
    <w:rsid w:val="00ED302D"/>
    <w:rsid w:val="00ED3399"/>
    <w:rsid w:val="00ED3454"/>
    <w:rsid w:val="00ED52AC"/>
    <w:rsid w:val="00ED56B6"/>
    <w:rsid w:val="00ED56D1"/>
    <w:rsid w:val="00ED5E88"/>
    <w:rsid w:val="00ED6321"/>
    <w:rsid w:val="00ED674B"/>
    <w:rsid w:val="00ED6B7F"/>
    <w:rsid w:val="00ED6E3A"/>
    <w:rsid w:val="00ED7424"/>
    <w:rsid w:val="00ED76D0"/>
    <w:rsid w:val="00ED78D1"/>
    <w:rsid w:val="00ED7E67"/>
    <w:rsid w:val="00ED7F39"/>
    <w:rsid w:val="00EE09DD"/>
    <w:rsid w:val="00EE0DC4"/>
    <w:rsid w:val="00EE139E"/>
    <w:rsid w:val="00EE1902"/>
    <w:rsid w:val="00EE1A02"/>
    <w:rsid w:val="00EE248E"/>
    <w:rsid w:val="00EE2A57"/>
    <w:rsid w:val="00EE2BB6"/>
    <w:rsid w:val="00EE36C4"/>
    <w:rsid w:val="00EE40F5"/>
    <w:rsid w:val="00EE41FF"/>
    <w:rsid w:val="00EE44F4"/>
    <w:rsid w:val="00EE4665"/>
    <w:rsid w:val="00EE47B7"/>
    <w:rsid w:val="00EE4A65"/>
    <w:rsid w:val="00EE4AA3"/>
    <w:rsid w:val="00EE4F06"/>
    <w:rsid w:val="00EE52C4"/>
    <w:rsid w:val="00EE57E3"/>
    <w:rsid w:val="00EE61BF"/>
    <w:rsid w:val="00EE652B"/>
    <w:rsid w:val="00EE676E"/>
    <w:rsid w:val="00EE6B03"/>
    <w:rsid w:val="00EE6C00"/>
    <w:rsid w:val="00EE6C05"/>
    <w:rsid w:val="00EE6E6D"/>
    <w:rsid w:val="00EE763D"/>
    <w:rsid w:val="00EE7BA9"/>
    <w:rsid w:val="00EF03E3"/>
    <w:rsid w:val="00EF090C"/>
    <w:rsid w:val="00EF1770"/>
    <w:rsid w:val="00EF1C95"/>
    <w:rsid w:val="00EF22D9"/>
    <w:rsid w:val="00EF2DF9"/>
    <w:rsid w:val="00EF32FA"/>
    <w:rsid w:val="00EF3BE8"/>
    <w:rsid w:val="00EF3D3D"/>
    <w:rsid w:val="00EF44F1"/>
    <w:rsid w:val="00EF53C8"/>
    <w:rsid w:val="00EF53F9"/>
    <w:rsid w:val="00EF557B"/>
    <w:rsid w:val="00EF5AEF"/>
    <w:rsid w:val="00EF5C7D"/>
    <w:rsid w:val="00EF6BE6"/>
    <w:rsid w:val="00EF7E48"/>
    <w:rsid w:val="00F003A7"/>
    <w:rsid w:val="00F003F6"/>
    <w:rsid w:val="00F00700"/>
    <w:rsid w:val="00F00EC3"/>
    <w:rsid w:val="00F01002"/>
    <w:rsid w:val="00F01189"/>
    <w:rsid w:val="00F012F7"/>
    <w:rsid w:val="00F02953"/>
    <w:rsid w:val="00F03719"/>
    <w:rsid w:val="00F0387C"/>
    <w:rsid w:val="00F03F5B"/>
    <w:rsid w:val="00F03FA2"/>
    <w:rsid w:val="00F04115"/>
    <w:rsid w:val="00F0463A"/>
    <w:rsid w:val="00F04C09"/>
    <w:rsid w:val="00F04D6C"/>
    <w:rsid w:val="00F05B22"/>
    <w:rsid w:val="00F05B89"/>
    <w:rsid w:val="00F05FE7"/>
    <w:rsid w:val="00F0653C"/>
    <w:rsid w:val="00F06867"/>
    <w:rsid w:val="00F07828"/>
    <w:rsid w:val="00F07F9D"/>
    <w:rsid w:val="00F109E3"/>
    <w:rsid w:val="00F10D3A"/>
    <w:rsid w:val="00F10EE8"/>
    <w:rsid w:val="00F110AD"/>
    <w:rsid w:val="00F11AAE"/>
    <w:rsid w:val="00F127C2"/>
    <w:rsid w:val="00F12ED9"/>
    <w:rsid w:val="00F12F80"/>
    <w:rsid w:val="00F13B6F"/>
    <w:rsid w:val="00F13B73"/>
    <w:rsid w:val="00F13D8F"/>
    <w:rsid w:val="00F14E22"/>
    <w:rsid w:val="00F15A44"/>
    <w:rsid w:val="00F15D3B"/>
    <w:rsid w:val="00F161E2"/>
    <w:rsid w:val="00F16789"/>
    <w:rsid w:val="00F16D4A"/>
    <w:rsid w:val="00F178BE"/>
    <w:rsid w:val="00F17C68"/>
    <w:rsid w:val="00F17E44"/>
    <w:rsid w:val="00F207E3"/>
    <w:rsid w:val="00F20803"/>
    <w:rsid w:val="00F20E5E"/>
    <w:rsid w:val="00F214E9"/>
    <w:rsid w:val="00F215BC"/>
    <w:rsid w:val="00F21CB2"/>
    <w:rsid w:val="00F2288F"/>
    <w:rsid w:val="00F22F14"/>
    <w:rsid w:val="00F2312F"/>
    <w:rsid w:val="00F23DF7"/>
    <w:rsid w:val="00F23F36"/>
    <w:rsid w:val="00F24028"/>
    <w:rsid w:val="00F240D5"/>
    <w:rsid w:val="00F24A95"/>
    <w:rsid w:val="00F24F08"/>
    <w:rsid w:val="00F255D1"/>
    <w:rsid w:val="00F259AA"/>
    <w:rsid w:val="00F26A2D"/>
    <w:rsid w:val="00F26F4A"/>
    <w:rsid w:val="00F27660"/>
    <w:rsid w:val="00F305EE"/>
    <w:rsid w:val="00F3061F"/>
    <w:rsid w:val="00F3155E"/>
    <w:rsid w:val="00F3227E"/>
    <w:rsid w:val="00F3234E"/>
    <w:rsid w:val="00F32382"/>
    <w:rsid w:val="00F3269B"/>
    <w:rsid w:val="00F32A7F"/>
    <w:rsid w:val="00F334B3"/>
    <w:rsid w:val="00F35230"/>
    <w:rsid w:val="00F35826"/>
    <w:rsid w:val="00F3673E"/>
    <w:rsid w:val="00F36A3D"/>
    <w:rsid w:val="00F379FF"/>
    <w:rsid w:val="00F37CD4"/>
    <w:rsid w:val="00F37D8C"/>
    <w:rsid w:val="00F37EBF"/>
    <w:rsid w:val="00F37F17"/>
    <w:rsid w:val="00F40948"/>
    <w:rsid w:val="00F410D2"/>
    <w:rsid w:val="00F41271"/>
    <w:rsid w:val="00F41C87"/>
    <w:rsid w:val="00F42376"/>
    <w:rsid w:val="00F429FB"/>
    <w:rsid w:val="00F42C20"/>
    <w:rsid w:val="00F42FD0"/>
    <w:rsid w:val="00F43403"/>
    <w:rsid w:val="00F43643"/>
    <w:rsid w:val="00F44682"/>
    <w:rsid w:val="00F4490B"/>
    <w:rsid w:val="00F44CF2"/>
    <w:rsid w:val="00F45670"/>
    <w:rsid w:val="00F50483"/>
    <w:rsid w:val="00F50C36"/>
    <w:rsid w:val="00F50F24"/>
    <w:rsid w:val="00F51303"/>
    <w:rsid w:val="00F518CA"/>
    <w:rsid w:val="00F51940"/>
    <w:rsid w:val="00F520DB"/>
    <w:rsid w:val="00F520F4"/>
    <w:rsid w:val="00F521D4"/>
    <w:rsid w:val="00F525A7"/>
    <w:rsid w:val="00F52D9E"/>
    <w:rsid w:val="00F53204"/>
    <w:rsid w:val="00F53C51"/>
    <w:rsid w:val="00F54E75"/>
    <w:rsid w:val="00F54F3F"/>
    <w:rsid w:val="00F554E3"/>
    <w:rsid w:val="00F55F5D"/>
    <w:rsid w:val="00F56399"/>
    <w:rsid w:val="00F5671F"/>
    <w:rsid w:val="00F567EE"/>
    <w:rsid w:val="00F56B33"/>
    <w:rsid w:val="00F56F93"/>
    <w:rsid w:val="00F57221"/>
    <w:rsid w:val="00F57C2A"/>
    <w:rsid w:val="00F57FFD"/>
    <w:rsid w:val="00F60646"/>
    <w:rsid w:val="00F609EB"/>
    <w:rsid w:val="00F61101"/>
    <w:rsid w:val="00F619C0"/>
    <w:rsid w:val="00F625A3"/>
    <w:rsid w:val="00F6276B"/>
    <w:rsid w:val="00F627B7"/>
    <w:rsid w:val="00F63642"/>
    <w:rsid w:val="00F6373E"/>
    <w:rsid w:val="00F641E2"/>
    <w:rsid w:val="00F6473B"/>
    <w:rsid w:val="00F6481C"/>
    <w:rsid w:val="00F648CD"/>
    <w:rsid w:val="00F657D1"/>
    <w:rsid w:val="00F65F2D"/>
    <w:rsid w:val="00F66236"/>
    <w:rsid w:val="00F66406"/>
    <w:rsid w:val="00F667C4"/>
    <w:rsid w:val="00F66B4B"/>
    <w:rsid w:val="00F67501"/>
    <w:rsid w:val="00F676F1"/>
    <w:rsid w:val="00F705F8"/>
    <w:rsid w:val="00F70DAB"/>
    <w:rsid w:val="00F71B4D"/>
    <w:rsid w:val="00F720B2"/>
    <w:rsid w:val="00F722EE"/>
    <w:rsid w:val="00F72DEC"/>
    <w:rsid w:val="00F73C0C"/>
    <w:rsid w:val="00F73CCE"/>
    <w:rsid w:val="00F73F47"/>
    <w:rsid w:val="00F74D2D"/>
    <w:rsid w:val="00F7565C"/>
    <w:rsid w:val="00F7567D"/>
    <w:rsid w:val="00F756AD"/>
    <w:rsid w:val="00F760AE"/>
    <w:rsid w:val="00F76751"/>
    <w:rsid w:val="00F77B0B"/>
    <w:rsid w:val="00F77CE1"/>
    <w:rsid w:val="00F8039C"/>
    <w:rsid w:val="00F808D3"/>
    <w:rsid w:val="00F80AA5"/>
    <w:rsid w:val="00F80DAD"/>
    <w:rsid w:val="00F8205A"/>
    <w:rsid w:val="00F8255C"/>
    <w:rsid w:val="00F834AB"/>
    <w:rsid w:val="00F8366D"/>
    <w:rsid w:val="00F8388B"/>
    <w:rsid w:val="00F838F0"/>
    <w:rsid w:val="00F83F98"/>
    <w:rsid w:val="00F841AA"/>
    <w:rsid w:val="00F847CD"/>
    <w:rsid w:val="00F84EBD"/>
    <w:rsid w:val="00F855B3"/>
    <w:rsid w:val="00F85801"/>
    <w:rsid w:val="00F85843"/>
    <w:rsid w:val="00F859C2"/>
    <w:rsid w:val="00F86166"/>
    <w:rsid w:val="00F863EC"/>
    <w:rsid w:val="00F870F0"/>
    <w:rsid w:val="00F8724E"/>
    <w:rsid w:val="00F879D4"/>
    <w:rsid w:val="00F909E6"/>
    <w:rsid w:val="00F90E9F"/>
    <w:rsid w:val="00F90EDB"/>
    <w:rsid w:val="00F91699"/>
    <w:rsid w:val="00F91A8D"/>
    <w:rsid w:val="00F928CC"/>
    <w:rsid w:val="00F930B2"/>
    <w:rsid w:val="00F945FF"/>
    <w:rsid w:val="00F9497C"/>
    <w:rsid w:val="00F9566B"/>
    <w:rsid w:val="00F95919"/>
    <w:rsid w:val="00F95A83"/>
    <w:rsid w:val="00F960B8"/>
    <w:rsid w:val="00F97678"/>
    <w:rsid w:val="00F97B10"/>
    <w:rsid w:val="00F97F28"/>
    <w:rsid w:val="00FA0030"/>
    <w:rsid w:val="00FA02EB"/>
    <w:rsid w:val="00FA0814"/>
    <w:rsid w:val="00FA08A8"/>
    <w:rsid w:val="00FA08E7"/>
    <w:rsid w:val="00FA0A44"/>
    <w:rsid w:val="00FA139A"/>
    <w:rsid w:val="00FA1F36"/>
    <w:rsid w:val="00FA206B"/>
    <w:rsid w:val="00FA21DA"/>
    <w:rsid w:val="00FA28F6"/>
    <w:rsid w:val="00FA2ECA"/>
    <w:rsid w:val="00FA3615"/>
    <w:rsid w:val="00FA50F8"/>
    <w:rsid w:val="00FA5F47"/>
    <w:rsid w:val="00FA6080"/>
    <w:rsid w:val="00FA60E4"/>
    <w:rsid w:val="00FA6455"/>
    <w:rsid w:val="00FA6C8B"/>
    <w:rsid w:val="00FA6FCB"/>
    <w:rsid w:val="00FA7938"/>
    <w:rsid w:val="00FA7DB6"/>
    <w:rsid w:val="00FA7EAE"/>
    <w:rsid w:val="00FB0205"/>
    <w:rsid w:val="00FB03F4"/>
    <w:rsid w:val="00FB0A5F"/>
    <w:rsid w:val="00FB0C81"/>
    <w:rsid w:val="00FB0D96"/>
    <w:rsid w:val="00FB0DF0"/>
    <w:rsid w:val="00FB1B5E"/>
    <w:rsid w:val="00FB23AC"/>
    <w:rsid w:val="00FB27B0"/>
    <w:rsid w:val="00FB301F"/>
    <w:rsid w:val="00FB30A3"/>
    <w:rsid w:val="00FB31A2"/>
    <w:rsid w:val="00FB31DB"/>
    <w:rsid w:val="00FB3450"/>
    <w:rsid w:val="00FB39AD"/>
    <w:rsid w:val="00FB3CBC"/>
    <w:rsid w:val="00FB441F"/>
    <w:rsid w:val="00FB450B"/>
    <w:rsid w:val="00FB4F32"/>
    <w:rsid w:val="00FB5697"/>
    <w:rsid w:val="00FB5750"/>
    <w:rsid w:val="00FB5BD3"/>
    <w:rsid w:val="00FB6164"/>
    <w:rsid w:val="00FB6E2B"/>
    <w:rsid w:val="00FB724B"/>
    <w:rsid w:val="00FB780F"/>
    <w:rsid w:val="00FC07BD"/>
    <w:rsid w:val="00FC1811"/>
    <w:rsid w:val="00FC1825"/>
    <w:rsid w:val="00FC1C45"/>
    <w:rsid w:val="00FC1EC9"/>
    <w:rsid w:val="00FC2209"/>
    <w:rsid w:val="00FC2836"/>
    <w:rsid w:val="00FC2B60"/>
    <w:rsid w:val="00FC3008"/>
    <w:rsid w:val="00FC32D9"/>
    <w:rsid w:val="00FC38BA"/>
    <w:rsid w:val="00FC3C67"/>
    <w:rsid w:val="00FC4002"/>
    <w:rsid w:val="00FC4697"/>
    <w:rsid w:val="00FC4836"/>
    <w:rsid w:val="00FC4CA1"/>
    <w:rsid w:val="00FC4DC7"/>
    <w:rsid w:val="00FC4F04"/>
    <w:rsid w:val="00FC59CF"/>
    <w:rsid w:val="00FC6AB2"/>
    <w:rsid w:val="00FC6B77"/>
    <w:rsid w:val="00FC739E"/>
    <w:rsid w:val="00FD016B"/>
    <w:rsid w:val="00FD08B2"/>
    <w:rsid w:val="00FD10AE"/>
    <w:rsid w:val="00FD175B"/>
    <w:rsid w:val="00FD1A97"/>
    <w:rsid w:val="00FD1DC5"/>
    <w:rsid w:val="00FD299E"/>
    <w:rsid w:val="00FD2A5A"/>
    <w:rsid w:val="00FD2AF6"/>
    <w:rsid w:val="00FD2F64"/>
    <w:rsid w:val="00FD3753"/>
    <w:rsid w:val="00FD3E5B"/>
    <w:rsid w:val="00FD4678"/>
    <w:rsid w:val="00FD4B30"/>
    <w:rsid w:val="00FD52B4"/>
    <w:rsid w:val="00FD590F"/>
    <w:rsid w:val="00FD5A90"/>
    <w:rsid w:val="00FD6F31"/>
    <w:rsid w:val="00FD748B"/>
    <w:rsid w:val="00FD7710"/>
    <w:rsid w:val="00FD79A2"/>
    <w:rsid w:val="00FD7ACA"/>
    <w:rsid w:val="00FE024E"/>
    <w:rsid w:val="00FE03E9"/>
    <w:rsid w:val="00FE044C"/>
    <w:rsid w:val="00FE07BF"/>
    <w:rsid w:val="00FE0FB6"/>
    <w:rsid w:val="00FE12AB"/>
    <w:rsid w:val="00FE16B5"/>
    <w:rsid w:val="00FE17D9"/>
    <w:rsid w:val="00FE1C7F"/>
    <w:rsid w:val="00FE3078"/>
    <w:rsid w:val="00FE341F"/>
    <w:rsid w:val="00FE3489"/>
    <w:rsid w:val="00FE36F9"/>
    <w:rsid w:val="00FE4233"/>
    <w:rsid w:val="00FE4753"/>
    <w:rsid w:val="00FE4F4F"/>
    <w:rsid w:val="00FE4F6D"/>
    <w:rsid w:val="00FE5137"/>
    <w:rsid w:val="00FE5246"/>
    <w:rsid w:val="00FE5527"/>
    <w:rsid w:val="00FE607A"/>
    <w:rsid w:val="00FE6272"/>
    <w:rsid w:val="00FE660E"/>
    <w:rsid w:val="00FE67F0"/>
    <w:rsid w:val="00FE6811"/>
    <w:rsid w:val="00FE724F"/>
    <w:rsid w:val="00FE773E"/>
    <w:rsid w:val="00FE7991"/>
    <w:rsid w:val="00FF0596"/>
    <w:rsid w:val="00FF0919"/>
    <w:rsid w:val="00FF2485"/>
    <w:rsid w:val="00FF2CF4"/>
    <w:rsid w:val="00FF2FC6"/>
    <w:rsid w:val="00FF3105"/>
    <w:rsid w:val="00FF344F"/>
    <w:rsid w:val="00FF3916"/>
    <w:rsid w:val="00FF3CC9"/>
    <w:rsid w:val="00FF3DCC"/>
    <w:rsid w:val="00FF4274"/>
    <w:rsid w:val="00FF42EC"/>
    <w:rsid w:val="00FF44AF"/>
    <w:rsid w:val="00FF4865"/>
    <w:rsid w:val="00FF4B70"/>
    <w:rsid w:val="00FF4CF8"/>
    <w:rsid w:val="00FF4F05"/>
    <w:rsid w:val="00FF5DDA"/>
    <w:rsid w:val="00FF5F3A"/>
    <w:rsid w:val="00FF5F56"/>
    <w:rsid w:val="00FF66C9"/>
    <w:rsid w:val="00FF7345"/>
    <w:rsid w:val="00FF7785"/>
    <w:rsid w:val="00FF79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E5343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B5E"/>
    <w:rPr>
      <w:sz w:val="24"/>
      <w:szCs w:val="24"/>
      <w:lang w:eastAsia="en-US"/>
    </w:rPr>
  </w:style>
  <w:style w:type="paragraph" w:styleId="Heading1">
    <w:name w:val="heading 1"/>
    <w:basedOn w:val="Normal"/>
    <w:next w:val="Normal"/>
    <w:link w:val="Heading1Char"/>
    <w:uiPriority w:val="9"/>
    <w:qFormat/>
    <w:rsid w:val="006430AC"/>
    <w:pPr>
      <w:keepNext/>
      <w:keepLines/>
      <w:spacing w:line="480" w:lineRule="auto"/>
      <w:outlineLvl w:val="0"/>
    </w:pPr>
    <w:rPr>
      <w:rFonts w:eastAsiaTheme="majorEastAsia" w:cstheme="majorBidi"/>
      <w:b/>
      <w:bCs/>
      <w:caps/>
      <w:color w:val="000000" w:themeColor="text1"/>
    </w:rPr>
  </w:style>
  <w:style w:type="paragraph" w:styleId="Heading2">
    <w:name w:val="heading 2"/>
    <w:basedOn w:val="Normal"/>
    <w:next w:val="Normal"/>
    <w:link w:val="Heading2Char"/>
    <w:uiPriority w:val="9"/>
    <w:unhideWhenUsed/>
    <w:qFormat/>
    <w:rsid w:val="00462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7C6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0AC"/>
    <w:rPr>
      <w:rFonts w:eastAsiaTheme="majorEastAsia" w:cstheme="majorBidi"/>
      <w:b/>
      <w:bCs/>
      <w:caps/>
      <w:color w:val="000000" w:themeColor="text1"/>
      <w:sz w:val="24"/>
      <w:szCs w:val="24"/>
      <w:lang w:eastAsia="en-US"/>
    </w:rPr>
  </w:style>
  <w:style w:type="character" w:customStyle="1" w:styleId="Heading2Char">
    <w:name w:val="Heading 2 Char"/>
    <w:basedOn w:val="DefaultParagraphFont"/>
    <w:link w:val="Heading2"/>
    <w:uiPriority w:val="9"/>
    <w:rsid w:val="004624ED"/>
    <w:rPr>
      <w:rFonts w:asciiTheme="majorHAnsi" w:eastAsiaTheme="majorEastAsia" w:hAnsiTheme="majorHAnsi" w:cstheme="majorBidi"/>
      <w:b/>
      <w:bCs/>
      <w:color w:val="4F81BD" w:themeColor="accent1"/>
      <w:sz w:val="26"/>
      <w:szCs w:val="26"/>
      <w:lang w:eastAsia="en-US"/>
    </w:rPr>
  </w:style>
  <w:style w:type="character" w:styleId="CommentReference">
    <w:name w:val="annotation reference"/>
    <w:basedOn w:val="DefaultParagraphFont"/>
    <w:uiPriority w:val="99"/>
    <w:semiHidden/>
    <w:unhideWhenUsed/>
    <w:rsid w:val="005A1578"/>
    <w:rPr>
      <w:sz w:val="18"/>
      <w:szCs w:val="18"/>
    </w:rPr>
  </w:style>
  <w:style w:type="paragraph" w:styleId="CommentText">
    <w:name w:val="annotation text"/>
    <w:basedOn w:val="Normal"/>
    <w:link w:val="CommentTextChar"/>
    <w:uiPriority w:val="99"/>
    <w:unhideWhenUsed/>
    <w:rsid w:val="005A1578"/>
  </w:style>
  <w:style w:type="character" w:customStyle="1" w:styleId="CommentTextChar">
    <w:name w:val="Comment Text Char"/>
    <w:basedOn w:val="DefaultParagraphFont"/>
    <w:link w:val="CommentText"/>
    <w:uiPriority w:val="99"/>
    <w:rsid w:val="005A1578"/>
    <w:rPr>
      <w:sz w:val="24"/>
      <w:szCs w:val="24"/>
      <w:lang w:eastAsia="en-US"/>
    </w:rPr>
  </w:style>
  <w:style w:type="paragraph" w:styleId="BalloonText">
    <w:name w:val="Balloon Text"/>
    <w:basedOn w:val="Normal"/>
    <w:link w:val="BalloonTextChar"/>
    <w:uiPriority w:val="99"/>
    <w:semiHidden/>
    <w:unhideWhenUsed/>
    <w:rsid w:val="005A15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578"/>
    <w:rPr>
      <w:rFonts w:ascii="Lucida Grande" w:hAnsi="Lucida Grande" w:cs="Lucida Grande"/>
      <w:sz w:val="18"/>
      <w:szCs w:val="18"/>
      <w:lang w:eastAsia="en-US"/>
    </w:rPr>
  </w:style>
  <w:style w:type="paragraph" w:styleId="NoSpacing">
    <w:name w:val="No Spacing"/>
    <w:uiPriority w:val="1"/>
    <w:qFormat/>
    <w:rsid w:val="00416DED"/>
    <w:rPr>
      <w:sz w:val="24"/>
      <w:szCs w:val="24"/>
      <w:lang w:eastAsia="en-US"/>
    </w:rPr>
  </w:style>
  <w:style w:type="character" w:styleId="EndnoteReference">
    <w:name w:val="endnote reference"/>
    <w:basedOn w:val="DefaultParagraphFont"/>
    <w:uiPriority w:val="99"/>
    <w:unhideWhenUsed/>
    <w:rsid w:val="00416DED"/>
    <w:rPr>
      <w:vertAlign w:val="superscript"/>
    </w:rPr>
  </w:style>
  <w:style w:type="paragraph" w:styleId="CommentSubject">
    <w:name w:val="annotation subject"/>
    <w:basedOn w:val="CommentText"/>
    <w:next w:val="CommentText"/>
    <w:link w:val="CommentSubjectChar"/>
    <w:uiPriority w:val="99"/>
    <w:semiHidden/>
    <w:unhideWhenUsed/>
    <w:rsid w:val="00E24AB6"/>
    <w:rPr>
      <w:b/>
      <w:bCs/>
      <w:sz w:val="20"/>
      <w:szCs w:val="20"/>
    </w:rPr>
  </w:style>
  <w:style w:type="character" w:customStyle="1" w:styleId="CommentSubjectChar">
    <w:name w:val="Comment Subject Char"/>
    <w:basedOn w:val="CommentTextChar"/>
    <w:link w:val="CommentSubject"/>
    <w:uiPriority w:val="99"/>
    <w:semiHidden/>
    <w:rsid w:val="00E24AB6"/>
    <w:rPr>
      <w:b/>
      <w:bCs/>
      <w:sz w:val="24"/>
      <w:szCs w:val="24"/>
      <w:lang w:eastAsia="en-US"/>
    </w:rPr>
  </w:style>
  <w:style w:type="paragraph" w:styleId="ListParagraph">
    <w:name w:val="List Paragraph"/>
    <w:basedOn w:val="Normal"/>
    <w:uiPriority w:val="34"/>
    <w:qFormat/>
    <w:rsid w:val="00D030B9"/>
    <w:pPr>
      <w:ind w:left="720"/>
      <w:contextualSpacing/>
    </w:pPr>
  </w:style>
  <w:style w:type="table" w:styleId="TableGrid">
    <w:name w:val="Table Grid"/>
    <w:basedOn w:val="TableNormal"/>
    <w:uiPriority w:val="59"/>
    <w:rsid w:val="005E1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A5C"/>
    <w:pPr>
      <w:widowControl w:val="0"/>
      <w:autoSpaceDE w:val="0"/>
      <w:autoSpaceDN w:val="0"/>
      <w:adjustRightInd w:val="0"/>
    </w:pPr>
    <w:rPr>
      <w:color w:val="000000"/>
      <w:sz w:val="24"/>
      <w:szCs w:val="24"/>
    </w:rPr>
  </w:style>
  <w:style w:type="paragraph" w:styleId="Revision">
    <w:name w:val="Revision"/>
    <w:hidden/>
    <w:uiPriority w:val="99"/>
    <w:semiHidden/>
    <w:rsid w:val="00E26A5C"/>
    <w:rPr>
      <w:sz w:val="24"/>
      <w:szCs w:val="24"/>
      <w:lang w:eastAsia="en-US"/>
    </w:rPr>
  </w:style>
  <w:style w:type="character" w:customStyle="1" w:styleId="apple-converted-space">
    <w:name w:val="apple-converted-space"/>
    <w:basedOn w:val="DefaultParagraphFont"/>
    <w:rsid w:val="0053241F"/>
  </w:style>
  <w:style w:type="character" w:styleId="Hyperlink">
    <w:name w:val="Hyperlink"/>
    <w:basedOn w:val="DefaultParagraphFont"/>
    <w:uiPriority w:val="99"/>
    <w:unhideWhenUsed/>
    <w:rsid w:val="0053241F"/>
    <w:rPr>
      <w:color w:val="0000FF"/>
      <w:u w:val="single"/>
    </w:rPr>
  </w:style>
  <w:style w:type="paragraph" w:styleId="FootnoteText">
    <w:name w:val="footnote text"/>
    <w:basedOn w:val="Normal"/>
    <w:link w:val="FootnoteTextChar"/>
    <w:uiPriority w:val="99"/>
    <w:unhideWhenUsed/>
    <w:rsid w:val="003551CC"/>
  </w:style>
  <w:style w:type="character" w:customStyle="1" w:styleId="FootnoteTextChar">
    <w:name w:val="Footnote Text Char"/>
    <w:basedOn w:val="DefaultParagraphFont"/>
    <w:link w:val="FootnoteText"/>
    <w:uiPriority w:val="99"/>
    <w:rsid w:val="003551CC"/>
    <w:rPr>
      <w:sz w:val="24"/>
      <w:szCs w:val="24"/>
      <w:lang w:eastAsia="en-US"/>
    </w:rPr>
  </w:style>
  <w:style w:type="character" w:styleId="FootnoteReference">
    <w:name w:val="footnote reference"/>
    <w:basedOn w:val="DefaultParagraphFont"/>
    <w:uiPriority w:val="99"/>
    <w:unhideWhenUsed/>
    <w:rsid w:val="003551CC"/>
    <w:rPr>
      <w:vertAlign w:val="superscript"/>
    </w:rPr>
  </w:style>
  <w:style w:type="paragraph" w:styleId="NormalWeb">
    <w:name w:val="Normal (Web)"/>
    <w:basedOn w:val="Normal"/>
    <w:uiPriority w:val="99"/>
    <w:semiHidden/>
    <w:unhideWhenUsed/>
    <w:rsid w:val="00866DE8"/>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1606D2"/>
    <w:pPr>
      <w:tabs>
        <w:tab w:val="center" w:pos="4320"/>
        <w:tab w:val="right" w:pos="8640"/>
      </w:tabs>
    </w:pPr>
  </w:style>
  <w:style w:type="character" w:customStyle="1" w:styleId="FooterChar">
    <w:name w:val="Footer Char"/>
    <w:basedOn w:val="DefaultParagraphFont"/>
    <w:link w:val="Footer"/>
    <w:uiPriority w:val="99"/>
    <w:rsid w:val="001606D2"/>
    <w:rPr>
      <w:sz w:val="24"/>
      <w:szCs w:val="24"/>
      <w:lang w:eastAsia="en-US"/>
    </w:rPr>
  </w:style>
  <w:style w:type="character" w:styleId="PageNumber">
    <w:name w:val="page number"/>
    <w:basedOn w:val="DefaultParagraphFont"/>
    <w:uiPriority w:val="99"/>
    <w:semiHidden/>
    <w:unhideWhenUsed/>
    <w:rsid w:val="001606D2"/>
  </w:style>
  <w:style w:type="paragraph" w:styleId="EndnoteText">
    <w:name w:val="endnote text"/>
    <w:basedOn w:val="Normal"/>
    <w:link w:val="EndnoteTextChar"/>
    <w:uiPriority w:val="99"/>
    <w:unhideWhenUsed/>
    <w:rsid w:val="00001D96"/>
  </w:style>
  <w:style w:type="character" w:customStyle="1" w:styleId="EndnoteTextChar">
    <w:name w:val="Endnote Text Char"/>
    <w:basedOn w:val="DefaultParagraphFont"/>
    <w:link w:val="EndnoteText"/>
    <w:uiPriority w:val="99"/>
    <w:rsid w:val="00001D96"/>
    <w:rPr>
      <w:sz w:val="24"/>
      <w:szCs w:val="24"/>
      <w:lang w:eastAsia="en-US"/>
    </w:rPr>
  </w:style>
  <w:style w:type="paragraph" w:styleId="Header">
    <w:name w:val="header"/>
    <w:basedOn w:val="Normal"/>
    <w:link w:val="HeaderChar"/>
    <w:uiPriority w:val="99"/>
    <w:unhideWhenUsed/>
    <w:rsid w:val="00CE1026"/>
    <w:pPr>
      <w:tabs>
        <w:tab w:val="center" w:pos="4320"/>
        <w:tab w:val="right" w:pos="8640"/>
      </w:tabs>
    </w:pPr>
  </w:style>
  <w:style w:type="character" w:customStyle="1" w:styleId="HeaderChar">
    <w:name w:val="Header Char"/>
    <w:basedOn w:val="DefaultParagraphFont"/>
    <w:link w:val="Header"/>
    <w:uiPriority w:val="99"/>
    <w:rsid w:val="00CE1026"/>
    <w:rPr>
      <w:sz w:val="24"/>
      <w:szCs w:val="24"/>
      <w:lang w:eastAsia="en-US"/>
    </w:rPr>
  </w:style>
  <w:style w:type="character" w:styleId="FollowedHyperlink">
    <w:name w:val="FollowedHyperlink"/>
    <w:basedOn w:val="DefaultParagraphFont"/>
    <w:uiPriority w:val="99"/>
    <w:semiHidden/>
    <w:unhideWhenUsed/>
    <w:rsid w:val="00702313"/>
    <w:rPr>
      <w:color w:val="800080" w:themeColor="followedHyperlink"/>
      <w:u w:val="single"/>
    </w:rPr>
  </w:style>
  <w:style w:type="character" w:styleId="Strong">
    <w:name w:val="Strong"/>
    <w:basedOn w:val="DefaultParagraphFont"/>
    <w:uiPriority w:val="22"/>
    <w:qFormat/>
    <w:rsid w:val="00E0650A"/>
    <w:rPr>
      <w:b/>
      <w:bCs/>
    </w:rPr>
  </w:style>
  <w:style w:type="paragraph" w:customStyle="1" w:styleId="font5">
    <w:name w:val="font5"/>
    <w:basedOn w:val="Normal"/>
    <w:rsid w:val="00C15410"/>
    <w:pPr>
      <w:spacing w:before="100" w:beforeAutospacing="1" w:after="100" w:afterAutospacing="1"/>
    </w:pPr>
    <w:rPr>
      <w:color w:val="000000"/>
      <w:sz w:val="22"/>
      <w:szCs w:val="22"/>
    </w:rPr>
  </w:style>
  <w:style w:type="paragraph" w:customStyle="1" w:styleId="font6">
    <w:name w:val="font6"/>
    <w:basedOn w:val="Normal"/>
    <w:rsid w:val="00C15410"/>
    <w:pPr>
      <w:spacing w:before="100" w:beforeAutospacing="1" w:after="100" w:afterAutospacing="1"/>
    </w:pPr>
    <w:rPr>
      <w:b/>
      <w:bCs/>
      <w:color w:val="000000"/>
      <w:sz w:val="22"/>
      <w:szCs w:val="22"/>
    </w:rPr>
  </w:style>
  <w:style w:type="paragraph" w:customStyle="1" w:styleId="xl63">
    <w:name w:val="xl63"/>
    <w:basedOn w:val="Normal"/>
    <w:rsid w:val="00C15410"/>
    <w:pPr>
      <w:spacing w:before="100" w:beforeAutospacing="1" w:after="100" w:afterAutospacing="1"/>
      <w:jc w:val="center"/>
    </w:pPr>
    <w:rPr>
      <w:sz w:val="20"/>
      <w:szCs w:val="20"/>
    </w:rPr>
  </w:style>
  <w:style w:type="paragraph" w:customStyle="1" w:styleId="xl64">
    <w:name w:val="xl64"/>
    <w:basedOn w:val="Normal"/>
    <w:rsid w:val="00C15410"/>
    <w:pPr>
      <w:shd w:val="clear" w:color="000000" w:fill="FFFFFF"/>
      <w:spacing w:before="100" w:beforeAutospacing="1" w:after="100" w:afterAutospacing="1"/>
    </w:pPr>
    <w:rPr>
      <w:sz w:val="20"/>
      <w:szCs w:val="20"/>
    </w:rPr>
  </w:style>
  <w:style w:type="paragraph" w:customStyle="1" w:styleId="xl65">
    <w:name w:val="xl65"/>
    <w:basedOn w:val="Normal"/>
    <w:rsid w:val="00C15410"/>
    <w:pPr>
      <w:spacing w:before="100" w:beforeAutospacing="1" w:after="100" w:afterAutospacing="1"/>
    </w:pPr>
    <w:rPr>
      <w:sz w:val="20"/>
      <w:szCs w:val="20"/>
    </w:rPr>
  </w:style>
  <w:style w:type="paragraph" w:customStyle="1" w:styleId="xl66">
    <w:name w:val="xl66"/>
    <w:basedOn w:val="Normal"/>
    <w:rsid w:val="00C15410"/>
    <w:pPr>
      <w:shd w:val="clear" w:color="000000" w:fill="FFFFFF"/>
      <w:spacing w:before="100" w:beforeAutospacing="1" w:after="100" w:afterAutospacing="1"/>
      <w:jc w:val="center"/>
    </w:pPr>
    <w:rPr>
      <w:sz w:val="20"/>
      <w:szCs w:val="20"/>
    </w:rPr>
  </w:style>
  <w:style w:type="paragraph" w:customStyle="1" w:styleId="xl67">
    <w:name w:val="xl67"/>
    <w:basedOn w:val="Normal"/>
    <w:rsid w:val="00C15410"/>
    <w:pPr>
      <w:pBdr>
        <w:top w:val="double" w:sz="6" w:space="0" w:color="auto"/>
      </w:pBdr>
      <w:shd w:val="clear" w:color="000000" w:fill="FFFFFF"/>
      <w:spacing w:before="100" w:beforeAutospacing="1" w:after="100" w:afterAutospacing="1"/>
    </w:pPr>
    <w:rPr>
      <w:sz w:val="20"/>
      <w:szCs w:val="20"/>
    </w:rPr>
  </w:style>
  <w:style w:type="paragraph" w:customStyle="1" w:styleId="xl68">
    <w:name w:val="xl68"/>
    <w:basedOn w:val="Normal"/>
    <w:rsid w:val="00C15410"/>
    <w:pPr>
      <w:pBdr>
        <w:top w:val="double" w:sz="6" w:space="0" w:color="auto"/>
      </w:pBdr>
      <w:shd w:val="clear" w:color="000000" w:fill="FFFFFF"/>
      <w:spacing w:before="100" w:beforeAutospacing="1" w:after="100" w:afterAutospacing="1"/>
      <w:jc w:val="center"/>
    </w:pPr>
    <w:rPr>
      <w:sz w:val="20"/>
      <w:szCs w:val="20"/>
    </w:rPr>
  </w:style>
  <w:style w:type="paragraph" w:customStyle="1" w:styleId="xl69">
    <w:name w:val="xl69"/>
    <w:basedOn w:val="Normal"/>
    <w:rsid w:val="00C15410"/>
    <w:pPr>
      <w:pBdr>
        <w:bottom w:val="single" w:sz="4" w:space="0" w:color="auto"/>
      </w:pBdr>
      <w:shd w:val="clear" w:color="000000" w:fill="FFFFFF"/>
      <w:spacing w:before="100" w:beforeAutospacing="1" w:after="100" w:afterAutospacing="1"/>
    </w:pPr>
    <w:rPr>
      <w:sz w:val="20"/>
      <w:szCs w:val="20"/>
    </w:rPr>
  </w:style>
  <w:style w:type="paragraph" w:customStyle="1" w:styleId="xl70">
    <w:name w:val="xl70"/>
    <w:basedOn w:val="Normal"/>
    <w:rsid w:val="00C15410"/>
    <w:pPr>
      <w:shd w:val="clear" w:color="000000" w:fill="FFFFFF"/>
      <w:spacing w:before="100" w:beforeAutospacing="1" w:after="100" w:afterAutospacing="1"/>
      <w:jc w:val="center"/>
    </w:pPr>
    <w:rPr>
      <w:sz w:val="20"/>
      <w:szCs w:val="20"/>
    </w:rPr>
  </w:style>
  <w:style w:type="paragraph" w:customStyle="1" w:styleId="xl71">
    <w:name w:val="xl71"/>
    <w:basedOn w:val="Normal"/>
    <w:rsid w:val="00C15410"/>
    <w:pPr>
      <w:shd w:val="clear" w:color="000000" w:fill="FFFFFF"/>
      <w:spacing w:before="100" w:beforeAutospacing="1" w:after="100" w:afterAutospacing="1"/>
      <w:jc w:val="center"/>
    </w:pPr>
    <w:rPr>
      <w:sz w:val="20"/>
      <w:szCs w:val="20"/>
    </w:rPr>
  </w:style>
  <w:style w:type="paragraph" w:customStyle="1" w:styleId="xl72">
    <w:name w:val="xl72"/>
    <w:basedOn w:val="Normal"/>
    <w:rsid w:val="00C15410"/>
    <w:pPr>
      <w:pBdr>
        <w:bottom w:val="double" w:sz="6" w:space="0" w:color="auto"/>
      </w:pBdr>
      <w:shd w:val="clear" w:color="000000" w:fill="FFFFFF"/>
      <w:spacing w:before="100" w:beforeAutospacing="1" w:after="100" w:afterAutospacing="1"/>
    </w:pPr>
    <w:rPr>
      <w:sz w:val="20"/>
      <w:szCs w:val="20"/>
    </w:rPr>
  </w:style>
  <w:style w:type="paragraph" w:customStyle="1" w:styleId="xl73">
    <w:name w:val="xl73"/>
    <w:basedOn w:val="Normal"/>
    <w:rsid w:val="00C15410"/>
    <w:pPr>
      <w:pBdr>
        <w:top w:val="double" w:sz="6" w:space="0" w:color="auto"/>
        <w:bottom w:val="single" w:sz="4" w:space="0" w:color="auto"/>
      </w:pBdr>
      <w:shd w:val="clear" w:color="000000" w:fill="FFFFFF"/>
      <w:spacing w:before="100" w:beforeAutospacing="1" w:after="100" w:afterAutospacing="1"/>
      <w:jc w:val="center"/>
    </w:pPr>
    <w:rPr>
      <w:sz w:val="20"/>
      <w:szCs w:val="20"/>
    </w:rPr>
  </w:style>
  <w:style w:type="paragraph" w:customStyle="1" w:styleId="xl74">
    <w:name w:val="xl74"/>
    <w:basedOn w:val="Normal"/>
    <w:rsid w:val="00C15410"/>
    <w:pPr>
      <w:pBdr>
        <w:top w:val="single" w:sz="4" w:space="0" w:color="auto"/>
        <w:bottom w:val="single" w:sz="4" w:space="0" w:color="auto"/>
      </w:pBdr>
      <w:shd w:val="clear" w:color="000000" w:fill="FFFFFF"/>
      <w:spacing w:before="100" w:beforeAutospacing="1" w:after="100" w:afterAutospacing="1"/>
      <w:jc w:val="center"/>
    </w:pPr>
    <w:rPr>
      <w:sz w:val="20"/>
      <w:szCs w:val="20"/>
    </w:rPr>
  </w:style>
  <w:style w:type="paragraph" w:customStyle="1" w:styleId="xl75">
    <w:name w:val="xl75"/>
    <w:basedOn w:val="Normal"/>
    <w:rsid w:val="00C15410"/>
    <w:pPr>
      <w:pBdr>
        <w:bottom w:val="single" w:sz="4" w:space="0" w:color="auto"/>
      </w:pBdr>
      <w:shd w:val="clear" w:color="000000" w:fill="FFFFFF"/>
      <w:spacing w:before="100" w:beforeAutospacing="1" w:after="100" w:afterAutospacing="1"/>
      <w:jc w:val="center"/>
    </w:pPr>
    <w:rPr>
      <w:sz w:val="20"/>
      <w:szCs w:val="20"/>
    </w:rPr>
  </w:style>
  <w:style w:type="paragraph" w:customStyle="1" w:styleId="xl76">
    <w:name w:val="xl76"/>
    <w:basedOn w:val="Normal"/>
    <w:rsid w:val="00C15410"/>
    <w:pPr>
      <w:shd w:val="clear" w:color="000000" w:fill="FFFFFF"/>
      <w:spacing w:before="100" w:beforeAutospacing="1" w:after="100" w:afterAutospacing="1"/>
    </w:pPr>
    <w:rPr>
      <w:i/>
      <w:iCs/>
      <w:color w:val="000000"/>
      <w:sz w:val="20"/>
      <w:szCs w:val="20"/>
    </w:rPr>
  </w:style>
  <w:style w:type="paragraph" w:customStyle="1" w:styleId="xl77">
    <w:name w:val="xl77"/>
    <w:basedOn w:val="Normal"/>
    <w:rsid w:val="00C15410"/>
    <w:pPr>
      <w:shd w:val="clear" w:color="000000" w:fill="FFFFFF"/>
      <w:spacing w:before="100" w:beforeAutospacing="1" w:after="100" w:afterAutospacing="1"/>
      <w:jc w:val="center"/>
    </w:pPr>
    <w:rPr>
      <w:color w:val="000000"/>
      <w:sz w:val="20"/>
      <w:szCs w:val="20"/>
    </w:rPr>
  </w:style>
  <w:style w:type="paragraph" w:customStyle="1" w:styleId="xl78">
    <w:name w:val="xl78"/>
    <w:basedOn w:val="Normal"/>
    <w:rsid w:val="00C15410"/>
    <w:pPr>
      <w:shd w:val="clear" w:color="000000" w:fill="FFFFFF"/>
      <w:spacing w:before="100" w:beforeAutospacing="1" w:after="100" w:afterAutospacing="1"/>
      <w:jc w:val="center"/>
    </w:pPr>
    <w:rPr>
      <w:color w:val="000000"/>
      <w:sz w:val="20"/>
      <w:szCs w:val="20"/>
    </w:rPr>
  </w:style>
  <w:style w:type="paragraph" w:customStyle="1" w:styleId="xl79">
    <w:name w:val="xl79"/>
    <w:basedOn w:val="Normal"/>
    <w:rsid w:val="00C15410"/>
    <w:pPr>
      <w:shd w:val="clear" w:color="000000" w:fill="FFFFFF"/>
      <w:spacing w:before="100" w:beforeAutospacing="1" w:after="100" w:afterAutospacing="1"/>
    </w:pPr>
    <w:rPr>
      <w:rFonts w:ascii="Times" w:hAnsi="Times"/>
      <w:color w:val="000000"/>
      <w:sz w:val="20"/>
      <w:szCs w:val="20"/>
    </w:rPr>
  </w:style>
  <w:style w:type="paragraph" w:customStyle="1" w:styleId="xl80">
    <w:name w:val="xl80"/>
    <w:basedOn w:val="Normal"/>
    <w:rsid w:val="00C15410"/>
    <w:pPr>
      <w:shd w:val="clear" w:color="000000" w:fill="FFFFFF"/>
      <w:spacing w:before="100" w:beforeAutospacing="1" w:after="100" w:afterAutospacing="1"/>
    </w:pPr>
    <w:rPr>
      <w:color w:val="000000"/>
      <w:sz w:val="20"/>
      <w:szCs w:val="20"/>
    </w:rPr>
  </w:style>
  <w:style w:type="paragraph" w:customStyle="1" w:styleId="xl81">
    <w:name w:val="xl81"/>
    <w:basedOn w:val="Normal"/>
    <w:rsid w:val="00C15410"/>
    <w:pPr>
      <w:shd w:val="clear" w:color="000000" w:fill="FFFFFF"/>
      <w:spacing w:before="100" w:beforeAutospacing="1" w:after="100" w:afterAutospacing="1"/>
      <w:jc w:val="center"/>
    </w:pPr>
    <w:rPr>
      <w:color w:val="000000"/>
      <w:sz w:val="20"/>
      <w:szCs w:val="20"/>
    </w:rPr>
  </w:style>
  <w:style w:type="paragraph" w:customStyle="1" w:styleId="xl82">
    <w:name w:val="xl82"/>
    <w:basedOn w:val="Normal"/>
    <w:rsid w:val="00C15410"/>
    <w:pPr>
      <w:pBdr>
        <w:bottom w:val="single" w:sz="4" w:space="0" w:color="auto"/>
      </w:pBdr>
      <w:shd w:val="clear" w:color="000000" w:fill="FFFFFF"/>
      <w:spacing w:before="100" w:beforeAutospacing="1" w:after="100" w:afterAutospacing="1"/>
    </w:pPr>
    <w:rPr>
      <w:color w:val="000000"/>
      <w:sz w:val="20"/>
      <w:szCs w:val="20"/>
    </w:rPr>
  </w:style>
  <w:style w:type="paragraph" w:customStyle="1" w:styleId="xl83">
    <w:name w:val="xl83"/>
    <w:basedOn w:val="Normal"/>
    <w:rsid w:val="00C15410"/>
    <w:pPr>
      <w:pBdr>
        <w:top w:val="single" w:sz="4" w:space="0" w:color="auto"/>
      </w:pBdr>
      <w:shd w:val="clear" w:color="000000" w:fill="FFFFFF"/>
      <w:spacing w:before="100" w:beforeAutospacing="1" w:after="100" w:afterAutospacing="1"/>
    </w:pPr>
    <w:rPr>
      <w:color w:val="000000"/>
      <w:sz w:val="20"/>
      <w:szCs w:val="20"/>
    </w:rPr>
  </w:style>
  <w:style w:type="character" w:customStyle="1" w:styleId="Heading3Char">
    <w:name w:val="Heading 3 Char"/>
    <w:basedOn w:val="DefaultParagraphFont"/>
    <w:link w:val="Heading3"/>
    <w:uiPriority w:val="9"/>
    <w:rsid w:val="00247C63"/>
    <w:rPr>
      <w:rFonts w:asciiTheme="majorHAnsi" w:eastAsiaTheme="majorEastAsia" w:hAnsiTheme="majorHAnsi" w:cstheme="majorBidi"/>
      <w:b/>
      <w:bCs/>
      <w:color w:val="4F81BD" w:themeColor="accent1"/>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1B5E"/>
    <w:rPr>
      <w:sz w:val="24"/>
      <w:szCs w:val="24"/>
      <w:lang w:eastAsia="en-US"/>
    </w:rPr>
  </w:style>
  <w:style w:type="paragraph" w:styleId="Heading1">
    <w:name w:val="heading 1"/>
    <w:basedOn w:val="Normal"/>
    <w:next w:val="Normal"/>
    <w:link w:val="Heading1Char"/>
    <w:uiPriority w:val="9"/>
    <w:qFormat/>
    <w:rsid w:val="006430AC"/>
    <w:pPr>
      <w:keepNext/>
      <w:keepLines/>
      <w:spacing w:line="480" w:lineRule="auto"/>
      <w:outlineLvl w:val="0"/>
    </w:pPr>
    <w:rPr>
      <w:rFonts w:eastAsiaTheme="majorEastAsia" w:cstheme="majorBidi"/>
      <w:b/>
      <w:bCs/>
      <w:caps/>
      <w:color w:val="000000" w:themeColor="text1"/>
    </w:rPr>
  </w:style>
  <w:style w:type="paragraph" w:styleId="Heading2">
    <w:name w:val="heading 2"/>
    <w:basedOn w:val="Normal"/>
    <w:next w:val="Normal"/>
    <w:link w:val="Heading2Char"/>
    <w:uiPriority w:val="9"/>
    <w:unhideWhenUsed/>
    <w:qFormat/>
    <w:rsid w:val="004624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7C6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0AC"/>
    <w:rPr>
      <w:rFonts w:eastAsiaTheme="majorEastAsia" w:cstheme="majorBidi"/>
      <w:b/>
      <w:bCs/>
      <w:caps/>
      <w:color w:val="000000" w:themeColor="text1"/>
      <w:sz w:val="24"/>
      <w:szCs w:val="24"/>
      <w:lang w:eastAsia="en-US"/>
    </w:rPr>
  </w:style>
  <w:style w:type="character" w:customStyle="1" w:styleId="Heading2Char">
    <w:name w:val="Heading 2 Char"/>
    <w:basedOn w:val="DefaultParagraphFont"/>
    <w:link w:val="Heading2"/>
    <w:uiPriority w:val="9"/>
    <w:rsid w:val="004624ED"/>
    <w:rPr>
      <w:rFonts w:asciiTheme="majorHAnsi" w:eastAsiaTheme="majorEastAsia" w:hAnsiTheme="majorHAnsi" w:cstheme="majorBidi"/>
      <w:b/>
      <w:bCs/>
      <w:color w:val="4F81BD" w:themeColor="accent1"/>
      <w:sz w:val="26"/>
      <w:szCs w:val="26"/>
      <w:lang w:eastAsia="en-US"/>
    </w:rPr>
  </w:style>
  <w:style w:type="character" w:styleId="CommentReference">
    <w:name w:val="annotation reference"/>
    <w:basedOn w:val="DefaultParagraphFont"/>
    <w:uiPriority w:val="99"/>
    <w:semiHidden/>
    <w:unhideWhenUsed/>
    <w:rsid w:val="005A1578"/>
    <w:rPr>
      <w:sz w:val="18"/>
      <w:szCs w:val="18"/>
    </w:rPr>
  </w:style>
  <w:style w:type="paragraph" w:styleId="CommentText">
    <w:name w:val="annotation text"/>
    <w:basedOn w:val="Normal"/>
    <w:link w:val="CommentTextChar"/>
    <w:uiPriority w:val="99"/>
    <w:unhideWhenUsed/>
    <w:rsid w:val="005A1578"/>
  </w:style>
  <w:style w:type="character" w:customStyle="1" w:styleId="CommentTextChar">
    <w:name w:val="Comment Text Char"/>
    <w:basedOn w:val="DefaultParagraphFont"/>
    <w:link w:val="CommentText"/>
    <w:uiPriority w:val="99"/>
    <w:rsid w:val="005A1578"/>
    <w:rPr>
      <w:sz w:val="24"/>
      <w:szCs w:val="24"/>
      <w:lang w:eastAsia="en-US"/>
    </w:rPr>
  </w:style>
  <w:style w:type="paragraph" w:styleId="BalloonText">
    <w:name w:val="Balloon Text"/>
    <w:basedOn w:val="Normal"/>
    <w:link w:val="BalloonTextChar"/>
    <w:uiPriority w:val="99"/>
    <w:semiHidden/>
    <w:unhideWhenUsed/>
    <w:rsid w:val="005A15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578"/>
    <w:rPr>
      <w:rFonts w:ascii="Lucida Grande" w:hAnsi="Lucida Grande" w:cs="Lucida Grande"/>
      <w:sz w:val="18"/>
      <w:szCs w:val="18"/>
      <w:lang w:eastAsia="en-US"/>
    </w:rPr>
  </w:style>
  <w:style w:type="paragraph" w:styleId="NoSpacing">
    <w:name w:val="No Spacing"/>
    <w:uiPriority w:val="1"/>
    <w:qFormat/>
    <w:rsid w:val="00416DED"/>
    <w:rPr>
      <w:sz w:val="24"/>
      <w:szCs w:val="24"/>
      <w:lang w:eastAsia="en-US"/>
    </w:rPr>
  </w:style>
  <w:style w:type="character" w:styleId="EndnoteReference">
    <w:name w:val="endnote reference"/>
    <w:basedOn w:val="DefaultParagraphFont"/>
    <w:uiPriority w:val="99"/>
    <w:unhideWhenUsed/>
    <w:rsid w:val="00416DED"/>
    <w:rPr>
      <w:vertAlign w:val="superscript"/>
    </w:rPr>
  </w:style>
  <w:style w:type="paragraph" w:styleId="CommentSubject">
    <w:name w:val="annotation subject"/>
    <w:basedOn w:val="CommentText"/>
    <w:next w:val="CommentText"/>
    <w:link w:val="CommentSubjectChar"/>
    <w:uiPriority w:val="99"/>
    <w:semiHidden/>
    <w:unhideWhenUsed/>
    <w:rsid w:val="00E24AB6"/>
    <w:rPr>
      <w:b/>
      <w:bCs/>
      <w:sz w:val="20"/>
      <w:szCs w:val="20"/>
    </w:rPr>
  </w:style>
  <w:style w:type="character" w:customStyle="1" w:styleId="CommentSubjectChar">
    <w:name w:val="Comment Subject Char"/>
    <w:basedOn w:val="CommentTextChar"/>
    <w:link w:val="CommentSubject"/>
    <w:uiPriority w:val="99"/>
    <w:semiHidden/>
    <w:rsid w:val="00E24AB6"/>
    <w:rPr>
      <w:b/>
      <w:bCs/>
      <w:sz w:val="24"/>
      <w:szCs w:val="24"/>
      <w:lang w:eastAsia="en-US"/>
    </w:rPr>
  </w:style>
  <w:style w:type="paragraph" w:styleId="ListParagraph">
    <w:name w:val="List Paragraph"/>
    <w:basedOn w:val="Normal"/>
    <w:uiPriority w:val="34"/>
    <w:qFormat/>
    <w:rsid w:val="00D030B9"/>
    <w:pPr>
      <w:ind w:left="720"/>
      <w:contextualSpacing/>
    </w:pPr>
  </w:style>
  <w:style w:type="table" w:styleId="TableGrid">
    <w:name w:val="Table Grid"/>
    <w:basedOn w:val="TableNormal"/>
    <w:uiPriority w:val="59"/>
    <w:rsid w:val="005E1E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A5C"/>
    <w:pPr>
      <w:widowControl w:val="0"/>
      <w:autoSpaceDE w:val="0"/>
      <w:autoSpaceDN w:val="0"/>
      <w:adjustRightInd w:val="0"/>
    </w:pPr>
    <w:rPr>
      <w:color w:val="000000"/>
      <w:sz w:val="24"/>
      <w:szCs w:val="24"/>
    </w:rPr>
  </w:style>
  <w:style w:type="paragraph" w:styleId="Revision">
    <w:name w:val="Revision"/>
    <w:hidden/>
    <w:uiPriority w:val="99"/>
    <w:semiHidden/>
    <w:rsid w:val="00E26A5C"/>
    <w:rPr>
      <w:sz w:val="24"/>
      <w:szCs w:val="24"/>
      <w:lang w:eastAsia="en-US"/>
    </w:rPr>
  </w:style>
  <w:style w:type="character" w:customStyle="1" w:styleId="apple-converted-space">
    <w:name w:val="apple-converted-space"/>
    <w:basedOn w:val="DefaultParagraphFont"/>
    <w:rsid w:val="0053241F"/>
  </w:style>
  <w:style w:type="character" w:styleId="Hyperlink">
    <w:name w:val="Hyperlink"/>
    <w:basedOn w:val="DefaultParagraphFont"/>
    <w:uiPriority w:val="99"/>
    <w:unhideWhenUsed/>
    <w:rsid w:val="0053241F"/>
    <w:rPr>
      <w:color w:val="0000FF"/>
      <w:u w:val="single"/>
    </w:rPr>
  </w:style>
  <w:style w:type="paragraph" w:styleId="FootnoteText">
    <w:name w:val="footnote text"/>
    <w:basedOn w:val="Normal"/>
    <w:link w:val="FootnoteTextChar"/>
    <w:uiPriority w:val="99"/>
    <w:unhideWhenUsed/>
    <w:rsid w:val="003551CC"/>
  </w:style>
  <w:style w:type="character" w:customStyle="1" w:styleId="FootnoteTextChar">
    <w:name w:val="Footnote Text Char"/>
    <w:basedOn w:val="DefaultParagraphFont"/>
    <w:link w:val="FootnoteText"/>
    <w:uiPriority w:val="99"/>
    <w:rsid w:val="003551CC"/>
    <w:rPr>
      <w:sz w:val="24"/>
      <w:szCs w:val="24"/>
      <w:lang w:eastAsia="en-US"/>
    </w:rPr>
  </w:style>
  <w:style w:type="character" w:styleId="FootnoteReference">
    <w:name w:val="footnote reference"/>
    <w:basedOn w:val="DefaultParagraphFont"/>
    <w:uiPriority w:val="99"/>
    <w:unhideWhenUsed/>
    <w:rsid w:val="003551CC"/>
    <w:rPr>
      <w:vertAlign w:val="superscript"/>
    </w:rPr>
  </w:style>
  <w:style w:type="paragraph" w:styleId="NormalWeb">
    <w:name w:val="Normal (Web)"/>
    <w:basedOn w:val="Normal"/>
    <w:uiPriority w:val="99"/>
    <w:semiHidden/>
    <w:unhideWhenUsed/>
    <w:rsid w:val="00866DE8"/>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1606D2"/>
    <w:pPr>
      <w:tabs>
        <w:tab w:val="center" w:pos="4320"/>
        <w:tab w:val="right" w:pos="8640"/>
      </w:tabs>
    </w:pPr>
  </w:style>
  <w:style w:type="character" w:customStyle="1" w:styleId="FooterChar">
    <w:name w:val="Footer Char"/>
    <w:basedOn w:val="DefaultParagraphFont"/>
    <w:link w:val="Footer"/>
    <w:uiPriority w:val="99"/>
    <w:rsid w:val="001606D2"/>
    <w:rPr>
      <w:sz w:val="24"/>
      <w:szCs w:val="24"/>
      <w:lang w:eastAsia="en-US"/>
    </w:rPr>
  </w:style>
  <w:style w:type="character" w:styleId="PageNumber">
    <w:name w:val="page number"/>
    <w:basedOn w:val="DefaultParagraphFont"/>
    <w:uiPriority w:val="99"/>
    <w:semiHidden/>
    <w:unhideWhenUsed/>
    <w:rsid w:val="001606D2"/>
  </w:style>
  <w:style w:type="paragraph" w:styleId="EndnoteText">
    <w:name w:val="endnote text"/>
    <w:basedOn w:val="Normal"/>
    <w:link w:val="EndnoteTextChar"/>
    <w:uiPriority w:val="99"/>
    <w:unhideWhenUsed/>
    <w:rsid w:val="00001D96"/>
  </w:style>
  <w:style w:type="character" w:customStyle="1" w:styleId="EndnoteTextChar">
    <w:name w:val="Endnote Text Char"/>
    <w:basedOn w:val="DefaultParagraphFont"/>
    <w:link w:val="EndnoteText"/>
    <w:uiPriority w:val="99"/>
    <w:rsid w:val="00001D96"/>
    <w:rPr>
      <w:sz w:val="24"/>
      <w:szCs w:val="24"/>
      <w:lang w:eastAsia="en-US"/>
    </w:rPr>
  </w:style>
  <w:style w:type="paragraph" w:styleId="Header">
    <w:name w:val="header"/>
    <w:basedOn w:val="Normal"/>
    <w:link w:val="HeaderChar"/>
    <w:uiPriority w:val="99"/>
    <w:unhideWhenUsed/>
    <w:rsid w:val="00CE1026"/>
    <w:pPr>
      <w:tabs>
        <w:tab w:val="center" w:pos="4320"/>
        <w:tab w:val="right" w:pos="8640"/>
      </w:tabs>
    </w:pPr>
  </w:style>
  <w:style w:type="character" w:customStyle="1" w:styleId="HeaderChar">
    <w:name w:val="Header Char"/>
    <w:basedOn w:val="DefaultParagraphFont"/>
    <w:link w:val="Header"/>
    <w:uiPriority w:val="99"/>
    <w:rsid w:val="00CE1026"/>
    <w:rPr>
      <w:sz w:val="24"/>
      <w:szCs w:val="24"/>
      <w:lang w:eastAsia="en-US"/>
    </w:rPr>
  </w:style>
  <w:style w:type="character" w:styleId="FollowedHyperlink">
    <w:name w:val="FollowedHyperlink"/>
    <w:basedOn w:val="DefaultParagraphFont"/>
    <w:uiPriority w:val="99"/>
    <w:semiHidden/>
    <w:unhideWhenUsed/>
    <w:rsid w:val="00702313"/>
    <w:rPr>
      <w:color w:val="800080" w:themeColor="followedHyperlink"/>
      <w:u w:val="single"/>
    </w:rPr>
  </w:style>
  <w:style w:type="character" w:styleId="Strong">
    <w:name w:val="Strong"/>
    <w:basedOn w:val="DefaultParagraphFont"/>
    <w:uiPriority w:val="22"/>
    <w:qFormat/>
    <w:rsid w:val="00E0650A"/>
    <w:rPr>
      <w:b/>
      <w:bCs/>
    </w:rPr>
  </w:style>
  <w:style w:type="paragraph" w:customStyle="1" w:styleId="font5">
    <w:name w:val="font5"/>
    <w:basedOn w:val="Normal"/>
    <w:rsid w:val="00C15410"/>
    <w:pPr>
      <w:spacing w:before="100" w:beforeAutospacing="1" w:after="100" w:afterAutospacing="1"/>
    </w:pPr>
    <w:rPr>
      <w:color w:val="000000"/>
      <w:sz w:val="22"/>
      <w:szCs w:val="22"/>
    </w:rPr>
  </w:style>
  <w:style w:type="paragraph" w:customStyle="1" w:styleId="font6">
    <w:name w:val="font6"/>
    <w:basedOn w:val="Normal"/>
    <w:rsid w:val="00C15410"/>
    <w:pPr>
      <w:spacing w:before="100" w:beforeAutospacing="1" w:after="100" w:afterAutospacing="1"/>
    </w:pPr>
    <w:rPr>
      <w:b/>
      <w:bCs/>
      <w:color w:val="000000"/>
      <w:sz w:val="22"/>
      <w:szCs w:val="22"/>
    </w:rPr>
  </w:style>
  <w:style w:type="paragraph" w:customStyle="1" w:styleId="xl63">
    <w:name w:val="xl63"/>
    <w:basedOn w:val="Normal"/>
    <w:rsid w:val="00C15410"/>
    <w:pPr>
      <w:spacing w:before="100" w:beforeAutospacing="1" w:after="100" w:afterAutospacing="1"/>
      <w:jc w:val="center"/>
    </w:pPr>
    <w:rPr>
      <w:sz w:val="20"/>
      <w:szCs w:val="20"/>
    </w:rPr>
  </w:style>
  <w:style w:type="paragraph" w:customStyle="1" w:styleId="xl64">
    <w:name w:val="xl64"/>
    <w:basedOn w:val="Normal"/>
    <w:rsid w:val="00C15410"/>
    <w:pPr>
      <w:shd w:val="clear" w:color="000000" w:fill="FFFFFF"/>
      <w:spacing w:before="100" w:beforeAutospacing="1" w:after="100" w:afterAutospacing="1"/>
    </w:pPr>
    <w:rPr>
      <w:sz w:val="20"/>
      <w:szCs w:val="20"/>
    </w:rPr>
  </w:style>
  <w:style w:type="paragraph" w:customStyle="1" w:styleId="xl65">
    <w:name w:val="xl65"/>
    <w:basedOn w:val="Normal"/>
    <w:rsid w:val="00C15410"/>
    <w:pPr>
      <w:spacing w:before="100" w:beforeAutospacing="1" w:after="100" w:afterAutospacing="1"/>
    </w:pPr>
    <w:rPr>
      <w:sz w:val="20"/>
      <w:szCs w:val="20"/>
    </w:rPr>
  </w:style>
  <w:style w:type="paragraph" w:customStyle="1" w:styleId="xl66">
    <w:name w:val="xl66"/>
    <w:basedOn w:val="Normal"/>
    <w:rsid w:val="00C15410"/>
    <w:pPr>
      <w:shd w:val="clear" w:color="000000" w:fill="FFFFFF"/>
      <w:spacing w:before="100" w:beforeAutospacing="1" w:after="100" w:afterAutospacing="1"/>
      <w:jc w:val="center"/>
    </w:pPr>
    <w:rPr>
      <w:sz w:val="20"/>
      <w:szCs w:val="20"/>
    </w:rPr>
  </w:style>
  <w:style w:type="paragraph" w:customStyle="1" w:styleId="xl67">
    <w:name w:val="xl67"/>
    <w:basedOn w:val="Normal"/>
    <w:rsid w:val="00C15410"/>
    <w:pPr>
      <w:pBdr>
        <w:top w:val="double" w:sz="6" w:space="0" w:color="auto"/>
      </w:pBdr>
      <w:shd w:val="clear" w:color="000000" w:fill="FFFFFF"/>
      <w:spacing w:before="100" w:beforeAutospacing="1" w:after="100" w:afterAutospacing="1"/>
    </w:pPr>
    <w:rPr>
      <w:sz w:val="20"/>
      <w:szCs w:val="20"/>
    </w:rPr>
  </w:style>
  <w:style w:type="paragraph" w:customStyle="1" w:styleId="xl68">
    <w:name w:val="xl68"/>
    <w:basedOn w:val="Normal"/>
    <w:rsid w:val="00C15410"/>
    <w:pPr>
      <w:pBdr>
        <w:top w:val="double" w:sz="6" w:space="0" w:color="auto"/>
      </w:pBdr>
      <w:shd w:val="clear" w:color="000000" w:fill="FFFFFF"/>
      <w:spacing w:before="100" w:beforeAutospacing="1" w:after="100" w:afterAutospacing="1"/>
      <w:jc w:val="center"/>
    </w:pPr>
    <w:rPr>
      <w:sz w:val="20"/>
      <w:szCs w:val="20"/>
    </w:rPr>
  </w:style>
  <w:style w:type="paragraph" w:customStyle="1" w:styleId="xl69">
    <w:name w:val="xl69"/>
    <w:basedOn w:val="Normal"/>
    <w:rsid w:val="00C15410"/>
    <w:pPr>
      <w:pBdr>
        <w:bottom w:val="single" w:sz="4" w:space="0" w:color="auto"/>
      </w:pBdr>
      <w:shd w:val="clear" w:color="000000" w:fill="FFFFFF"/>
      <w:spacing w:before="100" w:beforeAutospacing="1" w:after="100" w:afterAutospacing="1"/>
    </w:pPr>
    <w:rPr>
      <w:sz w:val="20"/>
      <w:szCs w:val="20"/>
    </w:rPr>
  </w:style>
  <w:style w:type="paragraph" w:customStyle="1" w:styleId="xl70">
    <w:name w:val="xl70"/>
    <w:basedOn w:val="Normal"/>
    <w:rsid w:val="00C15410"/>
    <w:pPr>
      <w:shd w:val="clear" w:color="000000" w:fill="FFFFFF"/>
      <w:spacing w:before="100" w:beforeAutospacing="1" w:after="100" w:afterAutospacing="1"/>
      <w:jc w:val="center"/>
    </w:pPr>
    <w:rPr>
      <w:sz w:val="20"/>
      <w:szCs w:val="20"/>
    </w:rPr>
  </w:style>
  <w:style w:type="paragraph" w:customStyle="1" w:styleId="xl71">
    <w:name w:val="xl71"/>
    <w:basedOn w:val="Normal"/>
    <w:rsid w:val="00C15410"/>
    <w:pPr>
      <w:shd w:val="clear" w:color="000000" w:fill="FFFFFF"/>
      <w:spacing w:before="100" w:beforeAutospacing="1" w:after="100" w:afterAutospacing="1"/>
      <w:jc w:val="center"/>
    </w:pPr>
    <w:rPr>
      <w:sz w:val="20"/>
      <w:szCs w:val="20"/>
    </w:rPr>
  </w:style>
  <w:style w:type="paragraph" w:customStyle="1" w:styleId="xl72">
    <w:name w:val="xl72"/>
    <w:basedOn w:val="Normal"/>
    <w:rsid w:val="00C15410"/>
    <w:pPr>
      <w:pBdr>
        <w:bottom w:val="double" w:sz="6" w:space="0" w:color="auto"/>
      </w:pBdr>
      <w:shd w:val="clear" w:color="000000" w:fill="FFFFFF"/>
      <w:spacing w:before="100" w:beforeAutospacing="1" w:after="100" w:afterAutospacing="1"/>
    </w:pPr>
    <w:rPr>
      <w:sz w:val="20"/>
      <w:szCs w:val="20"/>
    </w:rPr>
  </w:style>
  <w:style w:type="paragraph" w:customStyle="1" w:styleId="xl73">
    <w:name w:val="xl73"/>
    <w:basedOn w:val="Normal"/>
    <w:rsid w:val="00C15410"/>
    <w:pPr>
      <w:pBdr>
        <w:top w:val="double" w:sz="6" w:space="0" w:color="auto"/>
        <w:bottom w:val="single" w:sz="4" w:space="0" w:color="auto"/>
      </w:pBdr>
      <w:shd w:val="clear" w:color="000000" w:fill="FFFFFF"/>
      <w:spacing w:before="100" w:beforeAutospacing="1" w:after="100" w:afterAutospacing="1"/>
      <w:jc w:val="center"/>
    </w:pPr>
    <w:rPr>
      <w:sz w:val="20"/>
      <w:szCs w:val="20"/>
    </w:rPr>
  </w:style>
  <w:style w:type="paragraph" w:customStyle="1" w:styleId="xl74">
    <w:name w:val="xl74"/>
    <w:basedOn w:val="Normal"/>
    <w:rsid w:val="00C15410"/>
    <w:pPr>
      <w:pBdr>
        <w:top w:val="single" w:sz="4" w:space="0" w:color="auto"/>
        <w:bottom w:val="single" w:sz="4" w:space="0" w:color="auto"/>
      </w:pBdr>
      <w:shd w:val="clear" w:color="000000" w:fill="FFFFFF"/>
      <w:spacing w:before="100" w:beforeAutospacing="1" w:after="100" w:afterAutospacing="1"/>
      <w:jc w:val="center"/>
    </w:pPr>
    <w:rPr>
      <w:sz w:val="20"/>
      <w:szCs w:val="20"/>
    </w:rPr>
  </w:style>
  <w:style w:type="paragraph" w:customStyle="1" w:styleId="xl75">
    <w:name w:val="xl75"/>
    <w:basedOn w:val="Normal"/>
    <w:rsid w:val="00C15410"/>
    <w:pPr>
      <w:pBdr>
        <w:bottom w:val="single" w:sz="4" w:space="0" w:color="auto"/>
      </w:pBdr>
      <w:shd w:val="clear" w:color="000000" w:fill="FFFFFF"/>
      <w:spacing w:before="100" w:beforeAutospacing="1" w:after="100" w:afterAutospacing="1"/>
      <w:jc w:val="center"/>
    </w:pPr>
    <w:rPr>
      <w:sz w:val="20"/>
      <w:szCs w:val="20"/>
    </w:rPr>
  </w:style>
  <w:style w:type="paragraph" w:customStyle="1" w:styleId="xl76">
    <w:name w:val="xl76"/>
    <w:basedOn w:val="Normal"/>
    <w:rsid w:val="00C15410"/>
    <w:pPr>
      <w:shd w:val="clear" w:color="000000" w:fill="FFFFFF"/>
      <w:spacing w:before="100" w:beforeAutospacing="1" w:after="100" w:afterAutospacing="1"/>
    </w:pPr>
    <w:rPr>
      <w:i/>
      <w:iCs/>
      <w:color w:val="000000"/>
      <w:sz w:val="20"/>
      <w:szCs w:val="20"/>
    </w:rPr>
  </w:style>
  <w:style w:type="paragraph" w:customStyle="1" w:styleId="xl77">
    <w:name w:val="xl77"/>
    <w:basedOn w:val="Normal"/>
    <w:rsid w:val="00C15410"/>
    <w:pPr>
      <w:shd w:val="clear" w:color="000000" w:fill="FFFFFF"/>
      <w:spacing w:before="100" w:beforeAutospacing="1" w:after="100" w:afterAutospacing="1"/>
      <w:jc w:val="center"/>
    </w:pPr>
    <w:rPr>
      <w:color w:val="000000"/>
      <w:sz w:val="20"/>
      <w:szCs w:val="20"/>
    </w:rPr>
  </w:style>
  <w:style w:type="paragraph" w:customStyle="1" w:styleId="xl78">
    <w:name w:val="xl78"/>
    <w:basedOn w:val="Normal"/>
    <w:rsid w:val="00C15410"/>
    <w:pPr>
      <w:shd w:val="clear" w:color="000000" w:fill="FFFFFF"/>
      <w:spacing w:before="100" w:beforeAutospacing="1" w:after="100" w:afterAutospacing="1"/>
      <w:jc w:val="center"/>
    </w:pPr>
    <w:rPr>
      <w:color w:val="000000"/>
      <w:sz w:val="20"/>
      <w:szCs w:val="20"/>
    </w:rPr>
  </w:style>
  <w:style w:type="paragraph" w:customStyle="1" w:styleId="xl79">
    <w:name w:val="xl79"/>
    <w:basedOn w:val="Normal"/>
    <w:rsid w:val="00C15410"/>
    <w:pPr>
      <w:shd w:val="clear" w:color="000000" w:fill="FFFFFF"/>
      <w:spacing w:before="100" w:beforeAutospacing="1" w:after="100" w:afterAutospacing="1"/>
    </w:pPr>
    <w:rPr>
      <w:rFonts w:ascii="Times" w:hAnsi="Times"/>
      <w:color w:val="000000"/>
      <w:sz w:val="20"/>
      <w:szCs w:val="20"/>
    </w:rPr>
  </w:style>
  <w:style w:type="paragraph" w:customStyle="1" w:styleId="xl80">
    <w:name w:val="xl80"/>
    <w:basedOn w:val="Normal"/>
    <w:rsid w:val="00C15410"/>
    <w:pPr>
      <w:shd w:val="clear" w:color="000000" w:fill="FFFFFF"/>
      <w:spacing w:before="100" w:beforeAutospacing="1" w:after="100" w:afterAutospacing="1"/>
    </w:pPr>
    <w:rPr>
      <w:color w:val="000000"/>
      <w:sz w:val="20"/>
      <w:szCs w:val="20"/>
    </w:rPr>
  </w:style>
  <w:style w:type="paragraph" w:customStyle="1" w:styleId="xl81">
    <w:name w:val="xl81"/>
    <w:basedOn w:val="Normal"/>
    <w:rsid w:val="00C15410"/>
    <w:pPr>
      <w:shd w:val="clear" w:color="000000" w:fill="FFFFFF"/>
      <w:spacing w:before="100" w:beforeAutospacing="1" w:after="100" w:afterAutospacing="1"/>
      <w:jc w:val="center"/>
    </w:pPr>
    <w:rPr>
      <w:color w:val="000000"/>
      <w:sz w:val="20"/>
      <w:szCs w:val="20"/>
    </w:rPr>
  </w:style>
  <w:style w:type="paragraph" w:customStyle="1" w:styleId="xl82">
    <w:name w:val="xl82"/>
    <w:basedOn w:val="Normal"/>
    <w:rsid w:val="00C15410"/>
    <w:pPr>
      <w:pBdr>
        <w:bottom w:val="single" w:sz="4" w:space="0" w:color="auto"/>
      </w:pBdr>
      <w:shd w:val="clear" w:color="000000" w:fill="FFFFFF"/>
      <w:spacing w:before="100" w:beforeAutospacing="1" w:after="100" w:afterAutospacing="1"/>
    </w:pPr>
    <w:rPr>
      <w:color w:val="000000"/>
      <w:sz w:val="20"/>
      <w:szCs w:val="20"/>
    </w:rPr>
  </w:style>
  <w:style w:type="paragraph" w:customStyle="1" w:styleId="xl83">
    <w:name w:val="xl83"/>
    <w:basedOn w:val="Normal"/>
    <w:rsid w:val="00C15410"/>
    <w:pPr>
      <w:pBdr>
        <w:top w:val="single" w:sz="4" w:space="0" w:color="auto"/>
      </w:pBdr>
      <w:shd w:val="clear" w:color="000000" w:fill="FFFFFF"/>
      <w:spacing w:before="100" w:beforeAutospacing="1" w:after="100" w:afterAutospacing="1"/>
    </w:pPr>
    <w:rPr>
      <w:color w:val="000000"/>
      <w:sz w:val="20"/>
      <w:szCs w:val="20"/>
    </w:rPr>
  </w:style>
  <w:style w:type="character" w:customStyle="1" w:styleId="Heading3Char">
    <w:name w:val="Heading 3 Char"/>
    <w:basedOn w:val="DefaultParagraphFont"/>
    <w:link w:val="Heading3"/>
    <w:uiPriority w:val="9"/>
    <w:rsid w:val="00247C63"/>
    <w:rPr>
      <w:rFonts w:asciiTheme="majorHAnsi" w:eastAsiaTheme="majorEastAsia" w:hAnsiTheme="majorHAnsi" w:cstheme="majorBidi"/>
      <w:b/>
      <w:bCs/>
      <w:color w:val="4F81BD" w:themeColor="accen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6689">
      <w:bodyDiv w:val="1"/>
      <w:marLeft w:val="0"/>
      <w:marRight w:val="0"/>
      <w:marTop w:val="0"/>
      <w:marBottom w:val="0"/>
      <w:divBdr>
        <w:top w:val="none" w:sz="0" w:space="0" w:color="auto"/>
        <w:left w:val="none" w:sz="0" w:space="0" w:color="auto"/>
        <w:bottom w:val="none" w:sz="0" w:space="0" w:color="auto"/>
        <w:right w:val="none" w:sz="0" w:space="0" w:color="auto"/>
      </w:divBdr>
    </w:div>
    <w:div w:id="32314590">
      <w:bodyDiv w:val="1"/>
      <w:marLeft w:val="0"/>
      <w:marRight w:val="0"/>
      <w:marTop w:val="0"/>
      <w:marBottom w:val="0"/>
      <w:divBdr>
        <w:top w:val="none" w:sz="0" w:space="0" w:color="auto"/>
        <w:left w:val="none" w:sz="0" w:space="0" w:color="auto"/>
        <w:bottom w:val="none" w:sz="0" w:space="0" w:color="auto"/>
        <w:right w:val="none" w:sz="0" w:space="0" w:color="auto"/>
      </w:divBdr>
    </w:div>
    <w:div w:id="45378120">
      <w:bodyDiv w:val="1"/>
      <w:marLeft w:val="0"/>
      <w:marRight w:val="0"/>
      <w:marTop w:val="0"/>
      <w:marBottom w:val="0"/>
      <w:divBdr>
        <w:top w:val="none" w:sz="0" w:space="0" w:color="auto"/>
        <w:left w:val="none" w:sz="0" w:space="0" w:color="auto"/>
        <w:bottom w:val="none" w:sz="0" w:space="0" w:color="auto"/>
        <w:right w:val="none" w:sz="0" w:space="0" w:color="auto"/>
      </w:divBdr>
    </w:div>
    <w:div w:id="50661497">
      <w:bodyDiv w:val="1"/>
      <w:marLeft w:val="0"/>
      <w:marRight w:val="0"/>
      <w:marTop w:val="0"/>
      <w:marBottom w:val="0"/>
      <w:divBdr>
        <w:top w:val="none" w:sz="0" w:space="0" w:color="auto"/>
        <w:left w:val="none" w:sz="0" w:space="0" w:color="auto"/>
        <w:bottom w:val="none" w:sz="0" w:space="0" w:color="auto"/>
        <w:right w:val="none" w:sz="0" w:space="0" w:color="auto"/>
      </w:divBdr>
    </w:div>
    <w:div w:id="73091632">
      <w:bodyDiv w:val="1"/>
      <w:marLeft w:val="0"/>
      <w:marRight w:val="0"/>
      <w:marTop w:val="0"/>
      <w:marBottom w:val="0"/>
      <w:divBdr>
        <w:top w:val="none" w:sz="0" w:space="0" w:color="auto"/>
        <w:left w:val="none" w:sz="0" w:space="0" w:color="auto"/>
        <w:bottom w:val="none" w:sz="0" w:space="0" w:color="auto"/>
        <w:right w:val="none" w:sz="0" w:space="0" w:color="auto"/>
      </w:divBdr>
    </w:div>
    <w:div w:id="122233200">
      <w:bodyDiv w:val="1"/>
      <w:marLeft w:val="0"/>
      <w:marRight w:val="0"/>
      <w:marTop w:val="0"/>
      <w:marBottom w:val="0"/>
      <w:divBdr>
        <w:top w:val="none" w:sz="0" w:space="0" w:color="auto"/>
        <w:left w:val="none" w:sz="0" w:space="0" w:color="auto"/>
        <w:bottom w:val="none" w:sz="0" w:space="0" w:color="auto"/>
        <w:right w:val="none" w:sz="0" w:space="0" w:color="auto"/>
      </w:divBdr>
    </w:div>
    <w:div w:id="136269349">
      <w:bodyDiv w:val="1"/>
      <w:marLeft w:val="0"/>
      <w:marRight w:val="0"/>
      <w:marTop w:val="0"/>
      <w:marBottom w:val="0"/>
      <w:divBdr>
        <w:top w:val="none" w:sz="0" w:space="0" w:color="auto"/>
        <w:left w:val="none" w:sz="0" w:space="0" w:color="auto"/>
        <w:bottom w:val="none" w:sz="0" w:space="0" w:color="auto"/>
        <w:right w:val="none" w:sz="0" w:space="0" w:color="auto"/>
      </w:divBdr>
    </w:div>
    <w:div w:id="139075323">
      <w:bodyDiv w:val="1"/>
      <w:marLeft w:val="0"/>
      <w:marRight w:val="0"/>
      <w:marTop w:val="0"/>
      <w:marBottom w:val="0"/>
      <w:divBdr>
        <w:top w:val="none" w:sz="0" w:space="0" w:color="auto"/>
        <w:left w:val="none" w:sz="0" w:space="0" w:color="auto"/>
        <w:bottom w:val="none" w:sz="0" w:space="0" w:color="auto"/>
        <w:right w:val="none" w:sz="0" w:space="0" w:color="auto"/>
      </w:divBdr>
    </w:div>
    <w:div w:id="163322192">
      <w:bodyDiv w:val="1"/>
      <w:marLeft w:val="0"/>
      <w:marRight w:val="0"/>
      <w:marTop w:val="0"/>
      <w:marBottom w:val="0"/>
      <w:divBdr>
        <w:top w:val="none" w:sz="0" w:space="0" w:color="auto"/>
        <w:left w:val="none" w:sz="0" w:space="0" w:color="auto"/>
        <w:bottom w:val="none" w:sz="0" w:space="0" w:color="auto"/>
        <w:right w:val="none" w:sz="0" w:space="0" w:color="auto"/>
      </w:divBdr>
    </w:div>
    <w:div w:id="163667749">
      <w:bodyDiv w:val="1"/>
      <w:marLeft w:val="0"/>
      <w:marRight w:val="0"/>
      <w:marTop w:val="0"/>
      <w:marBottom w:val="0"/>
      <w:divBdr>
        <w:top w:val="none" w:sz="0" w:space="0" w:color="auto"/>
        <w:left w:val="none" w:sz="0" w:space="0" w:color="auto"/>
        <w:bottom w:val="none" w:sz="0" w:space="0" w:color="auto"/>
        <w:right w:val="none" w:sz="0" w:space="0" w:color="auto"/>
      </w:divBdr>
    </w:div>
    <w:div w:id="177696958">
      <w:bodyDiv w:val="1"/>
      <w:marLeft w:val="0"/>
      <w:marRight w:val="0"/>
      <w:marTop w:val="0"/>
      <w:marBottom w:val="0"/>
      <w:divBdr>
        <w:top w:val="none" w:sz="0" w:space="0" w:color="auto"/>
        <w:left w:val="none" w:sz="0" w:space="0" w:color="auto"/>
        <w:bottom w:val="none" w:sz="0" w:space="0" w:color="auto"/>
        <w:right w:val="none" w:sz="0" w:space="0" w:color="auto"/>
      </w:divBdr>
    </w:div>
    <w:div w:id="191697870">
      <w:bodyDiv w:val="1"/>
      <w:marLeft w:val="0"/>
      <w:marRight w:val="0"/>
      <w:marTop w:val="0"/>
      <w:marBottom w:val="0"/>
      <w:divBdr>
        <w:top w:val="none" w:sz="0" w:space="0" w:color="auto"/>
        <w:left w:val="none" w:sz="0" w:space="0" w:color="auto"/>
        <w:bottom w:val="none" w:sz="0" w:space="0" w:color="auto"/>
        <w:right w:val="none" w:sz="0" w:space="0" w:color="auto"/>
      </w:divBdr>
    </w:div>
    <w:div w:id="231624783">
      <w:bodyDiv w:val="1"/>
      <w:marLeft w:val="0"/>
      <w:marRight w:val="0"/>
      <w:marTop w:val="0"/>
      <w:marBottom w:val="0"/>
      <w:divBdr>
        <w:top w:val="none" w:sz="0" w:space="0" w:color="auto"/>
        <w:left w:val="none" w:sz="0" w:space="0" w:color="auto"/>
        <w:bottom w:val="none" w:sz="0" w:space="0" w:color="auto"/>
        <w:right w:val="none" w:sz="0" w:space="0" w:color="auto"/>
      </w:divBdr>
    </w:div>
    <w:div w:id="238053964">
      <w:bodyDiv w:val="1"/>
      <w:marLeft w:val="0"/>
      <w:marRight w:val="0"/>
      <w:marTop w:val="0"/>
      <w:marBottom w:val="0"/>
      <w:divBdr>
        <w:top w:val="none" w:sz="0" w:space="0" w:color="auto"/>
        <w:left w:val="none" w:sz="0" w:space="0" w:color="auto"/>
        <w:bottom w:val="none" w:sz="0" w:space="0" w:color="auto"/>
        <w:right w:val="none" w:sz="0" w:space="0" w:color="auto"/>
      </w:divBdr>
    </w:div>
    <w:div w:id="296646701">
      <w:bodyDiv w:val="1"/>
      <w:marLeft w:val="0"/>
      <w:marRight w:val="0"/>
      <w:marTop w:val="0"/>
      <w:marBottom w:val="0"/>
      <w:divBdr>
        <w:top w:val="none" w:sz="0" w:space="0" w:color="auto"/>
        <w:left w:val="none" w:sz="0" w:space="0" w:color="auto"/>
        <w:bottom w:val="none" w:sz="0" w:space="0" w:color="auto"/>
        <w:right w:val="none" w:sz="0" w:space="0" w:color="auto"/>
      </w:divBdr>
    </w:div>
    <w:div w:id="381367325">
      <w:bodyDiv w:val="1"/>
      <w:marLeft w:val="0"/>
      <w:marRight w:val="0"/>
      <w:marTop w:val="0"/>
      <w:marBottom w:val="0"/>
      <w:divBdr>
        <w:top w:val="none" w:sz="0" w:space="0" w:color="auto"/>
        <w:left w:val="none" w:sz="0" w:space="0" w:color="auto"/>
        <w:bottom w:val="none" w:sz="0" w:space="0" w:color="auto"/>
        <w:right w:val="none" w:sz="0" w:space="0" w:color="auto"/>
      </w:divBdr>
    </w:div>
    <w:div w:id="383868482">
      <w:bodyDiv w:val="1"/>
      <w:marLeft w:val="0"/>
      <w:marRight w:val="0"/>
      <w:marTop w:val="0"/>
      <w:marBottom w:val="0"/>
      <w:divBdr>
        <w:top w:val="none" w:sz="0" w:space="0" w:color="auto"/>
        <w:left w:val="none" w:sz="0" w:space="0" w:color="auto"/>
        <w:bottom w:val="none" w:sz="0" w:space="0" w:color="auto"/>
        <w:right w:val="none" w:sz="0" w:space="0" w:color="auto"/>
      </w:divBdr>
    </w:div>
    <w:div w:id="384531254">
      <w:bodyDiv w:val="1"/>
      <w:marLeft w:val="0"/>
      <w:marRight w:val="0"/>
      <w:marTop w:val="0"/>
      <w:marBottom w:val="0"/>
      <w:divBdr>
        <w:top w:val="none" w:sz="0" w:space="0" w:color="auto"/>
        <w:left w:val="none" w:sz="0" w:space="0" w:color="auto"/>
        <w:bottom w:val="none" w:sz="0" w:space="0" w:color="auto"/>
        <w:right w:val="none" w:sz="0" w:space="0" w:color="auto"/>
      </w:divBdr>
    </w:div>
    <w:div w:id="414981490">
      <w:bodyDiv w:val="1"/>
      <w:marLeft w:val="0"/>
      <w:marRight w:val="0"/>
      <w:marTop w:val="0"/>
      <w:marBottom w:val="0"/>
      <w:divBdr>
        <w:top w:val="none" w:sz="0" w:space="0" w:color="auto"/>
        <w:left w:val="none" w:sz="0" w:space="0" w:color="auto"/>
        <w:bottom w:val="none" w:sz="0" w:space="0" w:color="auto"/>
        <w:right w:val="none" w:sz="0" w:space="0" w:color="auto"/>
      </w:divBdr>
    </w:div>
    <w:div w:id="415174725">
      <w:bodyDiv w:val="1"/>
      <w:marLeft w:val="0"/>
      <w:marRight w:val="0"/>
      <w:marTop w:val="0"/>
      <w:marBottom w:val="0"/>
      <w:divBdr>
        <w:top w:val="none" w:sz="0" w:space="0" w:color="auto"/>
        <w:left w:val="none" w:sz="0" w:space="0" w:color="auto"/>
        <w:bottom w:val="none" w:sz="0" w:space="0" w:color="auto"/>
        <w:right w:val="none" w:sz="0" w:space="0" w:color="auto"/>
      </w:divBdr>
    </w:div>
    <w:div w:id="437986987">
      <w:bodyDiv w:val="1"/>
      <w:marLeft w:val="0"/>
      <w:marRight w:val="0"/>
      <w:marTop w:val="0"/>
      <w:marBottom w:val="0"/>
      <w:divBdr>
        <w:top w:val="none" w:sz="0" w:space="0" w:color="auto"/>
        <w:left w:val="none" w:sz="0" w:space="0" w:color="auto"/>
        <w:bottom w:val="none" w:sz="0" w:space="0" w:color="auto"/>
        <w:right w:val="none" w:sz="0" w:space="0" w:color="auto"/>
      </w:divBdr>
    </w:div>
    <w:div w:id="477697409">
      <w:bodyDiv w:val="1"/>
      <w:marLeft w:val="0"/>
      <w:marRight w:val="0"/>
      <w:marTop w:val="0"/>
      <w:marBottom w:val="0"/>
      <w:divBdr>
        <w:top w:val="none" w:sz="0" w:space="0" w:color="auto"/>
        <w:left w:val="none" w:sz="0" w:space="0" w:color="auto"/>
        <w:bottom w:val="none" w:sz="0" w:space="0" w:color="auto"/>
        <w:right w:val="none" w:sz="0" w:space="0" w:color="auto"/>
      </w:divBdr>
    </w:div>
    <w:div w:id="577205067">
      <w:bodyDiv w:val="1"/>
      <w:marLeft w:val="0"/>
      <w:marRight w:val="0"/>
      <w:marTop w:val="0"/>
      <w:marBottom w:val="0"/>
      <w:divBdr>
        <w:top w:val="none" w:sz="0" w:space="0" w:color="auto"/>
        <w:left w:val="none" w:sz="0" w:space="0" w:color="auto"/>
        <w:bottom w:val="none" w:sz="0" w:space="0" w:color="auto"/>
        <w:right w:val="none" w:sz="0" w:space="0" w:color="auto"/>
      </w:divBdr>
    </w:div>
    <w:div w:id="590309418">
      <w:bodyDiv w:val="1"/>
      <w:marLeft w:val="0"/>
      <w:marRight w:val="0"/>
      <w:marTop w:val="0"/>
      <w:marBottom w:val="0"/>
      <w:divBdr>
        <w:top w:val="none" w:sz="0" w:space="0" w:color="auto"/>
        <w:left w:val="none" w:sz="0" w:space="0" w:color="auto"/>
        <w:bottom w:val="none" w:sz="0" w:space="0" w:color="auto"/>
        <w:right w:val="none" w:sz="0" w:space="0" w:color="auto"/>
      </w:divBdr>
    </w:div>
    <w:div w:id="595556066">
      <w:bodyDiv w:val="1"/>
      <w:marLeft w:val="0"/>
      <w:marRight w:val="0"/>
      <w:marTop w:val="0"/>
      <w:marBottom w:val="0"/>
      <w:divBdr>
        <w:top w:val="none" w:sz="0" w:space="0" w:color="auto"/>
        <w:left w:val="none" w:sz="0" w:space="0" w:color="auto"/>
        <w:bottom w:val="none" w:sz="0" w:space="0" w:color="auto"/>
        <w:right w:val="none" w:sz="0" w:space="0" w:color="auto"/>
      </w:divBdr>
    </w:div>
    <w:div w:id="611985188">
      <w:bodyDiv w:val="1"/>
      <w:marLeft w:val="0"/>
      <w:marRight w:val="0"/>
      <w:marTop w:val="0"/>
      <w:marBottom w:val="0"/>
      <w:divBdr>
        <w:top w:val="none" w:sz="0" w:space="0" w:color="auto"/>
        <w:left w:val="none" w:sz="0" w:space="0" w:color="auto"/>
        <w:bottom w:val="none" w:sz="0" w:space="0" w:color="auto"/>
        <w:right w:val="none" w:sz="0" w:space="0" w:color="auto"/>
      </w:divBdr>
    </w:div>
    <w:div w:id="640381959">
      <w:bodyDiv w:val="1"/>
      <w:marLeft w:val="0"/>
      <w:marRight w:val="0"/>
      <w:marTop w:val="0"/>
      <w:marBottom w:val="0"/>
      <w:divBdr>
        <w:top w:val="none" w:sz="0" w:space="0" w:color="auto"/>
        <w:left w:val="none" w:sz="0" w:space="0" w:color="auto"/>
        <w:bottom w:val="none" w:sz="0" w:space="0" w:color="auto"/>
        <w:right w:val="none" w:sz="0" w:space="0" w:color="auto"/>
      </w:divBdr>
    </w:div>
    <w:div w:id="681514541">
      <w:bodyDiv w:val="1"/>
      <w:marLeft w:val="0"/>
      <w:marRight w:val="0"/>
      <w:marTop w:val="0"/>
      <w:marBottom w:val="0"/>
      <w:divBdr>
        <w:top w:val="none" w:sz="0" w:space="0" w:color="auto"/>
        <w:left w:val="none" w:sz="0" w:space="0" w:color="auto"/>
        <w:bottom w:val="none" w:sz="0" w:space="0" w:color="auto"/>
        <w:right w:val="none" w:sz="0" w:space="0" w:color="auto"/>
      </w:divBdr>
    </w:div>
    <w:div w:id="688020028">
      <w:bodyDiv w:val="1"/>
      <w:marLeft w:val="0"/>
      <w:marRight w:val="0"/>
      <w:marTop w:val="0"/>
      <w:marBottom w:val="0"/>
      <w:divBdr>
        <w:top w:val="none" w:sz="0" w:space="0" w:color="auto"/>
        <w:left w:val="none" w:sz="0" w:space="0" w:color="auto"/>
        <w:bottom w:val="none" w:sz="0" w:space="0" w:color="auto"/>
        <w:right w:val="none" w:sz="0" w:space="0" w:color="auto"/>
      </w:divBdr>
    </w:div>
    <w:div w:id="698968820">
      <w:bodyDiv w:val="1"/>
      <w:marLeft w:val="0"/>
      <w:marRight w:val="0"/>
      <w:marTop w:val="0"/>
      <w:marBottom w:val="0"/>
      <w:divBdr>
        <w:top w:val="none" w:sz="0" w:space="0" w:color="auto"/>
        <w:left w:val="none" w:sz="0" w:space="0" w:color="auto"/>
        <w:bottom w:val="none" w:sz="0" w:space="0" w:color="auto"/>
        <w:right w:val="none" w:sz="0" w:space="0" w:color="auto"/>
      </w:divBdr>
    </w:div>
    <w:div w:id="730690543">
      <w:bodyDiv w:val="1"/>
      <w:marLeft w:val="0"/>
      <w:marRight w:val="0"/>
      <w:marTop w:val="0"/>
      <w:marBottom w:val="0"/>
      <w:divBdr>
        <w:top w:val="none" w:sz="0" w:space="0" w:color="auto"/>
        <w:left w:val="none" w:sz="0" w:space="0" w:color="auto"/>
        <w:bottom w:val="none" w:sz="0" w:space="0" w:color="auto"/>
        <w:right w:val="none" w:sz="0" w:space="0" w:color="auto"/>
      </w:divBdr>
    </w:div>
    <w:div w:id="762799764">
      <w:bodyDiv w:val="1"/>
      <w:marLeft w:val="0"/>
      <w:marRight w:val="0"/>
      <w:marTop w:val="0"/>
      <w:marBottom w:val="0"/>
      <w:divBdr>
        <w:top w:val="none" w:sz="0" w:space="0" w:color="auto"/>
        <w:left w:val="none" w:sz="0" w:space="0" w:color="auto"/>
        <w:bottom w:val="none" w:sz="0" w:space="0" w:color="auto"/>
        <w:right w:val="none" w:sz="0" w:space="0" w:color="auto"/>
      </w:divBdr>
    </w:div>
    <w:div w:id="771168308">
      <w:bodyDiv w:val="1"/>
      <w:marLeft w:val="0"/>
      <w:marRight w:val="0"/>
      <w:marTop w:val="0"/>
      <w:marBottom w:val="0"/>
      <w:divBdr>
        <w:top w:val="none" w:sz="0" w:space="0" w:color="auto"/>
        <w:left w:val="none" w:sz="0" w:space="0" w:color="auto"/>
        <w:bottom w:val="none" w:sz="0" w:space="0" w:color="auto"/>
        <w:right w:val="none" w:sz="0" w:space="0" w:color="auto"/>
      </w:divBdr>
      <w:divsChild>
        <w:div w:id="1031345957">
          <w:marLeft w:val="0"/>
          <w:marRight w:val="0"/>
          <w:marTop w:val="0"/>
          <w:marBottom w:val="0"/>
          <w:divBdr>
            <w:top w:val="none" w:sz="0" w:space="0" w:color="auto"/>
            <w:left w:val="none" w:sz="0" w:space="0" w:color="auto"/>
            <w:bottom w:val="none" w:sz="0" w:space="0" w:color="auto"/>
            <w:right w:val="none" w:sz="0" w:space="0" w:color="auto"/>
          </w:divBdr>
        </w:div>
        <w:div w:id="2101438552">
          <w:marLeft w:val="0"/>
          <w:marRight w:val="0"/>
          <w:marTop w:val="0"/>
          <w:marBottom w:val="0"/>
          <w:divBdr>
            <w:top w:val="none" w:sz="0" w:space="0" w:color="auto"/>
            <w:left w:val="none" w:sz="0" w:space="0" w:color="auto"/>
            <w:bottom w:val="none" w:sz="0" w:space="0" w:color="auto"/>
            <w:right w:val="none" w:sz="0" w:space="0" w:color="auto"/>
          </w:divBdr>
        </w:div>
      </w:divsChild>
    </w:div>
    <w:div w:id="861433256">
      <w:bodyDiv w:val="1"/>
      <w:marLeft w:val="0"/>
      <w:marRight w:val="0"/>
      <w:marTop w:val="0"/>
      <w:marBottom w:val="0"/>
      <w:divBdr>
        <w:top w:val="none" w:sz="0" w:space="0" w:color="auto"/>
        <w:left w:val="none" w:sz="0" w:space="0" w:color="auto"/>
        <w:bottom w:val="none" w:sz="0" w:space="0" w:color="auto"/>
        <w:right w:val="none" w:sz="0" w:space="0" w:color="auto"/>
      </w:divBdr>
    </w:div>
    <w:div w:id="864945212">
      <w:bodyDiv w:val="1"/>
      <w:marLeft w:val="0"/>
      <w:marRight w:val="0"/>
      <w:marTop w:val="0"/>
      <w:marBottom w:val="0"/>
      <w:divBdr>
        <w:top w:val="none" w:sz="0" w:space="0" w:color="auto"/>
        <w:left w:val="none" w:sz="0" w:space="0" w:color="auto"/>
        <w:bottom w:val="none" w:sz="0" w:space="0" w:color="auto"/>
        <w:right w:val="none" w:sz="0" w:space="0" w:color="auto"/>
      </w:divBdr>
    </w:div>
    <w:div w:id="932936919">
      <w:bodyDiv w:val="1"/>
      <w:marLeft w:val="0"/>
      <w:marRight w:val="0"/>
      <w:marTop w:val="0"/>
      <w:marBottom w:val="0"/>
      <w:divBdr>
        <w:top w:val="none" w:sz="0" w:space="0" w:color="auto"/>
        <w:left w:val="none" w:sz="0" w:space="0" w:color="auto"/>
        <w:bottom w:val="none" w:sz="0" w:space="0" w:color="auto"/>
        <w:right w:val="none" w:sz="0" w:space="0" w:color="auto"/>
      </w:divBdr>
    </w:div>
    <w:div w:id="997031537">
      <w:bodyDiv w:val="1"/>
      <w:marLeft w:val="0"/>
      <w:marRight w:val="0"/>
      <w:marTop w:val="0"/>
      <w:marBottom w:val="0"/>
      <w:divBdr>
        <w:top w:val="none" w:sz="0" w:space="0" w:color="auto"/>
        <w:left w:val="none" w:sz="0" w:space="0" w:color="auto"/>
        <w:bottom w:val="none" w:sz="0" w:space="0" w:color="auto"/>
        <w:right w:val="none" w:sz="0" w:space="0" w:color="auto"/>
      </w:divBdr>
    </w:div>
    <w:div w:id="1057630520">
      <w:bodyDiv w:val="1"/>
      <w:marLeft w:val="0"/>
      <w:marRight w:val="0"/>
      <w:marTop w:val="0"/>
      <w:marBottom w:val="0"/>
      <w:divBdr>
        <w:top w:val="none" w:sz="0" w:space="0" w:color="auto"/>
        <w:left w:val="none" w:sz="0" w:space="0" w:color="auto"/>
        <w:bottom w:val="none" w:sz="0" w:space="0" w:color="auto"/>
        <w:right w:val="none" w:sz="0" w:space="0" w:color="auto"/>
      </w:divBdr>
    </w:div>
    <w:div w:id="1164050802">
      <w:bodyDiv w:val="1"/>
      <w:marLeft w:val="0"/>
      <w:marRight w:val="0"/>
      <w:marTop w:val="0"/>
      <w:marBottom w:val="0"/>
      <w:divBdr>
        <w:top w:val="none" w:sz="0" w:space="0" w:color="auto"/>
        <w:left w:val="none" w:sz="0" w:space="0" w:color="auto"/>
        <w:bottom w:val="none" w:sz="0" w:space="0" w:color="auto"/>
        <w:right w:val="none" w:sz="0" w:space="0" w:color="auto"/>
      </w:divBdr>
    </w:div>
    <w:div w:id="1174800494">
      <w:bodyDiv w:val="1"/>
      <w:marLeft w:val="0"/>
      <w:marRight w:val="0"/>
      <w:marTop w:val="0"/>
      <w:marBottom w:val="0"/>
      <w:divBdr>
        <w:top w:val="none" w:sz="0" w:space="0" w:color="auto"/>
        <w:left w:val="none" w:sz="0" w:space="0" w:color="auto"/>
        <w:bottom w:val="none" w:sz="0" w:space="0" w:color="auto"/>
        <w:right w:val="none" w:sz="0" w:space="0" w:color="auto"/>
      </w:divBdr>
    </w:div>
    <w:div w:id="1175146530">
      <w:bodyDiv w:val="1"/>
      <w:marLeft w:val="0"/>
      <w:marRight w:val="0"/>
      <w:marTop w:val="0"/>
      <w:marBottom w:val="0"/>
      <w:divBdr>
        <w:top w:val="none" w:sz="0" w:space="0" w:color="auto"/>
        <w:left w:val="none" w:sz="0" w:space="0" w:color="auto"/>
        <w:bottom w:val="none" w:sz="0" w:space="0" w:color="auto"/>
        <w:right w:val="none" w:sz="0" w:space="0" w:color="auto"/>
      </w:divBdr>
    </w:div>
    <w:div w:id="1179545796">
      <w:bodyDiv w:val="1"/>
      <w:marLeft w:val="0"/>
      <w:marRight w:val="0"/>
      <w:marTop w:val="0"/>
      <w:marBottom w:val="0"/>
      <w:divBdr>
        <w:top w:val="none" w:sz="0" w:space="0" w:color="auto"/>
        <w:left w:val="none" w:sz="0" w:space="0" w:color="auto"/>
        <w:bottom w:val="none" w:sz="0" w:space="0" w:color="auto"/>
        <w:right w:val="none" w:sz="0" w:space="0" w:color="auto"/>
      </w:divBdr>
    </w:div>
    <w:div w:id="1194608573">
      <w:bodyDiv w:val="1"/>
      <w:marLeft w:val="0"/>
      <w:marRight w:val="0"/>
      <w:marTop w:val="0"/>
      <w:marBottom w:val="0"/>
      <w:divBdr>
        <w:top w:val="none" w:sz="0" w:space="0" w:color="auto"/>
        <w:left w:val="none" w:sz="0" w:space="0" w:color="auto"/>
        <w:bottom w:val="none" w:sz="0" w:space="0" w:color="auto"/>
        <w:right w:val="none" w:sz="0" w:space="0" w:color="auto"/>
      </w:divBdr>
    </w:div>
    <w:div w:id="1236040930">
      <w:bodyDiv w:val="1"/>
      <w:marLeft w:val="0"/>
      <w:marRight w:val="0"/>
      <w:marTop w:val="0"/>
      <w:marBottom w:val="0"/>
      <w:divBdr>
        <w:top w:val="none" w:sz="0" w:space="0" w:color="auto"/>
        <w:left w:val="none" w:sz="0" w:space="0" w:color="auto"/>
        <w:bottom w:val="none" w:sz="0" w:space="0" w:color="auto"/>
        <w:right w:val="none" w:sz="0" w:space="0" w:color="auto"/>
      </w:divBdr>
    </w:div>
    <w:div w:id="1304626515">
      <w:bodyDiv w:val="1"/>
      <w:marLeft w:val="0"/>
      <w:marRight w:val="0"/>
      <w:marTop w:val="0"/>
      <w:marBottom w:val="0"/>
      <w:divBdr>
        <w:top w:val="none" w:sz="0" w:space="0" w:color="auto"/>
        <w:left w:val="none" w:sz="0" w:space="0" w:color="auto"/>
        <w:bottom w:val="none" w:sz="0" w:space="0" w:color="auto"/>
        <w:right w:val="none" w:sz="0" w:space="0" w:color="auto"/>
      </w:divBdr>
    </w:div>
    <w:div w:id="1329286684">
      <w:bodyDiv w:val="1"/>
      <w:marLeft w:val="0"/>
      <w:marRight w:val="0"/>
      <w:marTop w:val="0"/>
      <w:marBottom w:val="0"/>
      <w:divBdr>
        <w:top w:val="none" w:sz="0" w:space="0" w:color="auto"/>
        <w:left w:val="none" w:sz="0" w:space="0" w:color="auto"/>
        <w:bottom w:val="none" w:sz="0" w:space="0" w:color="auto"/>
        <w:right w:val="none" w:sz="0" w:space="0" w:color="auto"/>
      </w:divBdr>
    </w:div>
    <w:div w:id="1353074000">
      <w:bodyDiv w:val="1"/>
      <w:marLeft w:val="0"/>
      <w:marRight w:val="0"/>
      <w:marTop w:val="0"/>
      <w:marBottom w:val="0"/>
      <w:divBdr>
        <w:top w:val="none" w:sz="0" w:space="0" w:color="auto"/>
        <w:left w:val="none" w:sz="0" w:space="0" w:color="auto"/>
        <w:bottom w:val="none" w:sz="0" w:space="0" w:color="auto"/>
        <w:right w:val="none" w:sz="0" w:space="0" w:color="auto"/>
      </w:divBdr>
    </w:div>
    <w:div w:id="1353460608">
      <w:bodyDiv w:val="1"/>
      <w:marLeft w:val="0"/>
      <w:marRight w:val="0"/>
      <w:marTop w:val="0"/>
      <w:marBottom w:val="0"/>
      <w:divBdr>
        <w:top w:val="none" w:sz="0" w:space="0" w:color="auto"/>
        <w:left w:val="none" w:sz="0" w:space="0" w:color="auto"/>
        <w:bottom w:val="none" w:sz="0" w:space="0" w:color="auto"/>
        <w:right w:val="none" w:sz="0" w:space="0" w:color="auto"/>
      </w:divBdr>
    </w:div>
    <w:div w:id="1389718816">
      <w:bodyDiv w:val="1"/>
      <w:marLeft w:val="0"/>
      <w:marRight w:val="0"/>
      <w:marTop w:val="0"/>
      <w:marBottom w:val="0"/>
      <w:divBdr>
        <w:top w:val="none" w:sz="0" w:space="0" w:color="auto"/>
        <w:left w:val="none" w:sz="0" w:space="0" w:color="auto"/>
        <w:bottom w:val="none" w:sz="0" w:space="0" w:color="auto"/>
        <w:right w:val="none" w:sz="0" w:space="0" w:color="auto"/>
      </w:divBdr>
    </w:div>
    <w:div w:id="1439059040">
      <w:bodyDiv w:val="1"/>
      <w:marLeft w:val="0"/>
      <w:marRight w:val="0"/>
      <w:marTop w:val="0"/>
      <w:marBottom w:val="0"/>
      <w:divBdr>
        <w:top w:val="none" w:sz="0" w:space="0" w:color="auto"/>
        <w:left w:val="none" w:sz="0" w:space="0" w:color="auto"/>
        <w:bottom w:val="none" w:sz="0" w:space="0" w:color="auto"/>
        <w:right w:val="none" w:sz="0" w:space="0" w:color="auto"/>
      </w:divBdr>
    </w:div>
    <w:div w:id="1452897023">
      <w:bodyDiv w:val="1"/>
      <w:marLeft w:val="0"/>
      <w:marRight w:val="0"/>
      <w:marTop w:val="0"/>
      <w:marBottom w:val="0"/>
      <w:divBdr>
        <w:top w:val="none" w:sz="0" w:space="0" w:color="auto"/>
        <w:left w:val="none" w:sz="0" w:space="0" w:color="auto"/>
        <w:bottom w:val="none" w:sz="0" w:space="0" w:color="auto"/>
        <w:right w:val="none" w:sz="0" w:space="0" w:color="auto"/>
      </w:divBdr>
    </w:div>
    <w:div w:id="1522816760">
      <w:bodyDiv w:val="1"/>
      <w:marLeft w:val="0"/>
      <w:marRight w:val="0"/>
      <w:marTop w:val="0"/>
      <w:marBottom w:val="0"/>
      <w:divBdr>
        <w:top w:val="none" w:sz="0" w:space="0" w:color="auto"/>
        <w:left w:val="none" w:sz="0" w:space="0" w:color="auto"/>
        <w:bottom w:val="none" w:sz="0" w:space="0" w:color="auto"/>
        <w:right w:val="none" w:sz="0" w:space="0" w:color="auto"/>
      </w:divBdr>
      <w:divsChild>
        <w:div w:id="1288269781">
          <w:marLeft w:val="0"/>
          <w:marRight w:val="0"/>
          <w:marTop w:val="0"/>
          <w:marBottom w:val="0"/>
          <w:divBdr>
            <w:top w:val="none" w:sz="0" w:space="0" w:color="auto"/>
            <w:left w:val="none" w:sz="0" w:space="0" w:color="auto"/>
            <w:bottom w:val="none" w:sz="0" w:space="0" w:color="auto"/>
            <w:right w:val="none" w:sz="0" w:space="0" w:color="auto"/>
          </w:divBdr>
          <w:divsChild>
            <w:div w:id="10585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857485">
      <w:bodyDiv w:val="1"/>
      <w:marLeft w:val="0"/>
      <w:marRight w:val="0"/>
      <w:marTop w:val="0"/>
      <w:marBottom w:val="0"/>
      <w:divBdr>
        <w:top w:val="none" w:sz="0" w:space="0" w:color="auto"/>
        <w:left w:val="none" w:sz="0" w:space="0" w:color="auto"/>
        <w:bottom w:val="none" w:sz="0" w:space="0" w:color="auto"/>
        <w:right w:val="none" w:sz="0" w:space="0" w:color="auto"/>
      </w:divBdr>
    </w:div>
    <w:div w:id="1624578095">
      <w:bodyDiv w:val="1"/>
      <w:marLeft w:val="0"/>
      <w:marRight w:val="0"/>
      <w:marTop w:val="0"/>
      <w:marBottom w:val="0"/>
      <w:divBdr>
        <w:top w:val="none" w:sz="0" w:space="0" w:color="auto"/>
        <w:left w:val="none" w:sz="0" w:space="0" w:color="auto"/>
        <w:bottom w:val="none" w:sz="0" w:space="0" w:color="auto"/>
        <w:right w:val="none" w:sz="0" w:space="0" w:color="auto"/>
      </w:divBdr>
    </w:div>
    <w:div w:id="1636447154">
      <w:bodyDiv w:val="1"/>
      <w:marLeft w:val="0"/>
      <w:marRight w:val="0"/>
      <w:marTop w:val="0"/>
      <w:marBottom w:val="0"/>
      <w:divBdr>
        <w:top w:val="none" w:sz="0" w:space="0" w:color="auto"/>
        <w:left w:val="none" w:sz="0" w:space="0" w:color="auto"/>
        <w:bottom w:val="none" w:sz="0" w:space="0" w:color="auto"/>
        <w:right w:val="none" w:sz="0" w:space="0" w:color="auto"/>
      </w:divBdr>
    </w:div>
    <w:div w:id="1649628344">
      <w:bodyDiv w:val="1"/>
      <w:marLeft w:val="0"/>
      <w:marRight w:val="0"/>
      <w:marTop w:val="0"/>
      <w:marBottom w:val="0"/>
      <w:divBdr>
        <w:top w:val="none" w:sz="0" w:space="0" w:color="auto"/>
        <w:left w:val="none" w:sz="0" w:space="0" w:color="auto"/>
        <w:bottom w:val="none" w:sz="0" w:space="0" w:color="auto"/>
        <w:right w:val="none" w:sz="0" w:space="0" w:color="auto"/>
      </w:divBdr>
    </w:div>
    <w:div w:id="1677686807">
      <w:bodyDiv w:val="1"/>
      <w:marLeft w:val="0"/>
      <w:marRight w:val="0"/>
      <w:marTop w:val="0"/>
      <w:marBottom w:val="0"/>
      <w:divBdr>
        <w:top w:val="none" w:sz="0" w:space="0" w:color="auto"/>
        <w:left w:val="none" w:sz="0" w:space="0" w:color="auto"/>
        <w:bottom w:val="none" w:sz="0" w:space="0" w:color="auto"/>
        <w:right w:val="none" w:sz="0" w:space="0" w:color="auto"/>
      </w:divBdr>
    </w:div>
    <w:div w:id="1726416790">
      <w:bodyDiv w:val="1"/>
      <w:marLeft w:val="0"/>
      <w:marRight w:val="0"/>
      <w:marTop w:val="0"/>
      <w:marBottom w:val="0"/>
      <w:divBdr>
        <w:top w:val="none" w:sz="0" w:space="0" w:color="auto"/>
        <w:left w:val="none" w:sz="0" w:space="0" w:color="auto"/>
        <w:bottom w:val="none" w:sz="0" w:space="0" w:color="auto"/>
        <w:right w:val="none" w:sz="0" w:space="0" w:color="auto"/>
      </w:divBdr>
    </w:div>
    <w:div w:id="1768119164">
      <w:bodyDiv w:val="1"/>
      <w:marLeft w:val="0"/>
      <w:marRight w:val="0"/>
      <w:marTop w:val="0"/>
      <w:marBottom w:val="0"/>
      <w:divBdr>
        <w:top w:val="none" w:sz="0" w:space="0" w:color="auto"/>
        <w:left w:val="none" w:sz="0" w:space="0" w:color="auto"/>
        <w:bottom w:val="none" w:sz="0" w:space="0" w:color="auto"/>
        <w:right w:val="none" w:sz="0" w:space="0" w:color="auto"/>
      </w:divBdr>
    </w:div>
    <w:div w:id="1821650961">
      <w:bodyDiv w:val="1"/>
      <w:marLeft w:val="0"/>
      <w:marRight w:val="0"/>
      <w:marTop w:val="0"/>
      <w:marBottom w:val="0"/>
      <w:divBdr>
        <w:top w:val="none" w:sz="0" w:space="0" w:color="auto"/>
        <w:left w:val="none" w:sz="0" w:space="0" w:color="auto"/>
        <w:bottom w:val="none" w:sz="0" w:space="0" w:color="auto"/>
        <w:right w:val="none" w:sz="0" w:space="0" w:color="auto"/>
      </w:divBdr>
    </w:div>
    <w:div w:id="1822308713">
      <w:bodyDiv w:val="1"/>
      <w:marLeft w:val="0"/>
      <w:marRight w:val="0"/>
      <w:marTop w:val="0"/>
      <w:marBottom w:val="0"/>
      <w:divBdr>
        <w:top w:val="none" w:sz="0" w:space="0" w:color="auto"/>
        <w:left w:val="none" w:sz="0" w:space="0" w:color="auto"/>
        <w:bottom w:val="none" w:sz="0" w:space="0" w:color="auto"/>
        <w:right w:val="none" w:sz="0" w:space="0" w:color="auto"/>
      </w:divBdr>
    </w:div>
    <w:div w:id="1833721058">
      <w:bodyDiv w:val="1"/>
      <w:marLeft w:val="0"/>
      <w:marRight w:val="0"/>
      <w:marTop w:val="0"/>
      <w:marBottom w:val="0"/>
      <w:divBdr>
        <w:top w:val="none" w:sz="0" w:space="0" w:color="auto"/>
        <w:left w:val="none" w:sz="0" w:space="0" w:color="auto"/>
        <w:bottom w:val="none" w:sz="0" w:space="0" w:color="auto"/>
        <w:right w:val="none" w:sz="0" w:space="0" w:color="auto"/>
      </w:divBdr>
    </w:div>
    <w:div w:id="1839232280">
      <w:bodyDiv w:val="1"/>
      <w:marLeft w:val="0"/>
      <w:marRight w:val="0"/>
      <w:marTop w:val="0"/>
      <w:marBottom w:val="0"/>
      <w:divBdr>
        <w:top w:val="none" w:sz="0" w:space="0" w:color="auto"/>
        <w:left w:val="none" w:sz="0" w:space="0" w:color="auto"/>
        <w:bottom w:val="none" w:sz="0" w:space="0" w:color="auto"/>
        <w:right w:val="none" w:sz="0" w:space="0" w:color="auto"/>
      </w:divBdr>
    </w:div>
    <w:div w:id="1874927160">
      <w:bodyDiv w:val="1"/>
      <w:marLeft w:val="0"/>
      <w:marRight w:val="0"/>
      <w:marTop w:val="0"/>
      <w:marBottom w:val="0"/>
      <w:divBdr>
        <w:top w:val="none" w:sz="0" w:space="0" w:color="auto"/>
        <w:left w:val="none" w:sz="0" w:space="0" w:color="auto"/>
        <w:bottom w:val="none" w:sz="0" w:space="0" w:color="auto"/>
        <w:right w:val="none" w:sz="0" w:space="0" w:color="auto"/>
      </w:divBdr>
    </w:div>
    <w:div w:id="1974287596">
      <w:bodyDiv w:val="1"/>
      <w:marLeft w:val="0"/>
      <w:marRight w:val="0"/>
      <w:marTop w:val="0"/>
      <w:marBottom w:val="0"/>
      <w:divBdr>
        <w:top w:val="none" w:sz="0" w:space="0" w:color="auto"/>
        <w:left w:val="none" w:sz="0" w:space="0" w:color="auto"/>
        <w:bottom w:val="none" w:sz="0" w:space="0" w:color="auto"/>
        <w:right w:val="none" w:sz="0" w:space="0" w:color="auto"/>
      </w:divBdr>
    </w:div>
    <w:div w:id="1991016271">
      <w:bodyDiv w:val="1"/>
      <w:marLeft w:val="0"/>
      <w:marRight w:val="0"/>
      <w:marTop w:val="0"/>
      <w:marBottom w:val="0"/>
      <w:divBdr>
        <w:top w:val="none" w:sz="0" w:space="0" w:color="auto"/>
        <w:left w:val="none" w:sz="0" w:space="0" w:color="auto"/>
        <w:bottom w:val="none" w:sz="0" w:space="0" w:color="auto"/>
        <w:right w:val="none" w:sz="0" w:space="0" w:color="auto"/>
      </w:divBdr>
    </w:div>
    <w:div w:id="2003702403">
      <w:bodyDiv w:val="1"/>
      <w:marLeft w:val="0"/>
      <w:marRight w:val="0"/>
      <w:marTop w:val="0"/>
      <w:marBottom w:val="0"/>
      <w:divBdr>
        <w:top w:val="none" w:sz="0" w:space="0" w:color="auto"/>
        <w:left w:val="none" w:sz="0" w:space="0" w:color="auto"/>
        <w:bottom w:val="none" w:sz="0" w:space="0" w:color="auto"/>
        <w:right w:val="none" w:sz="0" w:space="0" w:color="auto"/>
      </w:divBdr>
    </w:div>
    <w:div w:id="2017882310">
      <w:bodyDiv w:val="1"/>
      <w:marLeft w:val="0"/>
      <w:marRight w:val="0"/>
      <w:marTop w:val="0"/>
      <w:marBottom w:val="0"/>
      <w:divBdr>
        <w:top w:val="none" w:sz="0" w:space="0" w:color="auto"/>
        <w:left w:val="none" w:sz="0" w:space="0" w:color="auto"/>
        <w:bottom w:val="none" w:sz="0" w:space="0" w:color="auto"/>
        <w:right w:val="none" w:sz="0" w:space="0" w:color="auto"/>
      </w:divBdr>
    </w:div>
    <w:div w:id="2060204818">
      <w:bodyDiv w:val="1"/>
      <w:marLeft w:val="0"/>
      <w:marRight w:val="0"/>
      <w:marTop w:val="0"/>
      <w:marBottom w:val="0"/>
      <w:divBdr>
        <w:top w:val="none" w:sz="0" w:space="0" w:color="auto"/>
        <w:left w:val="none" w:sz="0" w:space="0" w:color="auto"/>
        <w:bottom w:val="none" w:sz="0" w:space="0" w:color="auto"/>
        <w:right w:val="none" w:sz="0" w:space="0" w:color="auto"/>
      </w:divBdr>
    </w:div>
    <w:div w:id="2067558874">
      <w:bodyDiv w:val="1"/>
      <w:marLeft w:val="0"/>
      <w:marRight w:val="0"/>
      <w:marTop w:val="0"/>
      <w:marBottom w:val="0"/>
      <w:divBdr>
        <w:top w:val="none" w:sz="0" w:space="0" w:color="auto"/>
        <w:left w:val="none" w:sz="0" w:space="0" w:color="auto"/>
        <w:bottom w:val="none" w:sz="0" w:space="0" w:color="auto"/>
        <w:right w:val="none" w:sz="0" w:space="0" w:color="auto"/>
      </w:divBdr>
    </w:div>
    <w:div w:id="2079403807">
      <w:bodyDiv w:val="1"/>
      <w:marLeft w:val="0"/>
      <w:marRight w:val="0"/>
      <w:marTop w:val="0"/>
      <w:marBottom w:val="0"/>
      <w:divBdr>
        <w:top w:val="none" w:sz="0" w:space="0" w:color="auto"/>
        <w:left w:val="none" w:sz="0" w:space="0" w:color="auto"/>
        <w:bottom w:val="none" w:sz="0" w:space="0" w:color="auto"/>
        <w:right w:val="none" w:sz="0" w:space="0" w:color="auto"/>
      </w:divBdr>
    </w:div>
    <w:div w:id="2104523348">
      <w:bodyDiv w:val="1"/>
      <w:marLeft w:val="0"/>
      <w:marRight w:val="0"/>
      <w:marTop w:val="0"/>
      <w:marBottom w:val="0"/>
      <w:divBdr>
        <w:top w:val="none" w:sz="0" w:space="0" w:color="auto"/>
        <w:left w:val="none" w:sz="0" w:space="0" w:color="auto"/>
        <w:bottom w:val="none" w:sz="0" w:space="0" w:color="auto"/>
        <w:right w:val="none" w:sz="0" w:space="0" w:color="auto"/>
      </w:divBdr>
    </w:div>
    <w:div w:id="2106146352">
      <w:bodyDiv w:val="1"/>
      <w:marLeft w:val="0"/>
      <w:marRight w:val="0"/>
      <w:marTop w:val="0"/>
      <w:marBottom w:val="0"/>
      <w:divBdr>
        <w:top w:val="none" w:sz="0" w:space="0" w:color="auto"/>
        <w:left w:val="none" w:sz="0" w:space="0" w:color="auto"/>
        <w:bottom w:val="none" w:sz="0" w:space="0" w:color="auto"/>
        <w:right w:val="none" w:sz="0" w:space="0" w:color="auto"/>
      </w:divBdr>
    </w:div>
    <w:div w:id="21130893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chart" Target="charts/chart1.xml"/><Relationship Id="rId25" Type="http://schemas.openxmlformats.org/officeDocument/2006/relationships/image" Target="media/image10.emf"/><Relationship Id="rId26" Type="http://schemas.openxmlformats.org/officeDocument/2006/relationships/chart" Target="charts/chart2.xml"/><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fontTable" Target="fontTable.xml"/><Relationship Id="rId33" Type="http://schemas.microsoft.com/office/2011/relationships/people" Target="people.xml"/><Relationship Id="rId30" Type="http://schemas.openxmlformats.org/officeDocument/2006/relationships/theme" Target="theme/theme1.xml"/><Relationship Id="rId32" Type="http://schemas.microsoft.com/office/2011/relationships/commentsExtended" Target="commentsExtended.xml"/><Relationship Id="rId10" Type="http://schemas.openxmlformats.org/officeDocument/2006/relationships/footer" Target="footer2.xml"/><Relationship Id="rId11" Type="http://schemas.openxmlformats.org/officeDocument/2006/relationships/hyperlink" Target="http://www.businessinsider.com/bubble-derivatives-otc-2010-5" TargetMode="External"/><Relationship Id="rId12" Type="http://schemas.openxmlformats.org/officeDocument/2006/relationships/hyperlink" Target="http://www.jstor.org.ezp-prod1.hul.harvard.edu/action/showPublication?journalCode=jfinance" TargetMode="External"/><Relationship Id="rId13" Type="http://schemas.openxmlformats.org/officeDocument/2006/relationships/hyperlink" Target="http://www" TargetMode="External"/><Relationship Id="rId14" Type="http://schemas.openxmlformats.org/officeDocument/2006/relationships/hyperlink" Target="http://www.theiia.org/FSAarchive/index.cfm?iid=394" TargetMode="Externa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Kimberly:Downloads:August%202016%20CRO%20paper%20tables&amp;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Kimberly:Downloads:Tables(derivatives)Heckman%200912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1'!$B$1</c:f>
              <c:strCache>
                <c:ptCount val="1"/>
                <c:pt idx="0">
                  <c:v>Banks with a Chief Risk Officer in the Top Management Team</c:v>
                </c:pt>
              </c:strCache>
            </c:strRef>
          </c:tx>
          <c:spPr>
            <a:ln>
              <a:solidFill>
                <a:schemeClr val="tx1"/>
              </a:solidFill>
            </a:ln>
          </c:spPr>
          <c:marker>
            <c:symbol val="none"/>
          </c:marker>
          <c:cat>
            <c:numRef>
              <c:f>'Figure 1'!$A$2:$A$18</c:f>
              <c:numCache>
                <c:formatCode>General</c:formatCode>
                <c:ptCount val="17"/>
                <c:pt idx="0">
                  <c:v>1994.0</c:v>
                </c:pt>
                <c:pt idx="1">
                  <c:v>1995.0</c:v>
                </c:pt>
                <c:pt idx="2">
                  <c:v>1996.0</c:v>
                </c:pt>
                <c:pt idx="3">
                  <c:v>1997.0</c:v>
                </c:pt>
                <c:pt idx="4">
                  <c:v>1998.0</c:v>
                </c:pt>
                <c:pt idx="5">
                  <c:v>1999.0</c:v>
                </c:pt>
                <c:pt idx="6">
                  <c:v>2000.0</c:v>
                </c:pt>
                <c:pt idx="7">
                  <c:v>2001.0</c:v>
                </c:pt>
                <c:pt idx="8">
                  <c:v>2002.0</c:v>
                </c:pt>
                <c:pt idx="9">
                  <c:v>2003.0</c:v>
                </c:pt>
                <c:pt idx="10">
                  <c:v>2004.0</c:v>
                </c:pt>
                <c:pt idx="11">
                  <c:v>2005.0</c:v>
                </c:pt>
                <c:pt idx="12">
                  <c:v>2006.0</c:v>
                </c:pt>
                <c:pt idx="13">
                  <c:v>2007.0</c:v>
                </c:pt>
                <c:pt idx="14">
                  <c:v>2008.0</c:v>
                </c:pt>
                <c:pt idx="15">
                  <c:v>2009.0</c:v>
                </c:pt>
                <c:pt idx="16">
                  <c:v>2010.0</c:v>
                </c:pt>
              </c:numCache>
            </c:numRef>
          </c:cat>
          <c:val>
            <c:numRef>
              <c:f>'Figure 1'!$B$2:$B$18</c:f>
              <c:numCache>
                <c:formatCode>General</c:formatCode>
                <c:ptCount val="17"/>
                <c:pt idx="0">
                  <c:v>0.0</c:v>
                </c:pt>
                <c:pt idx="1">
                  <c:v>0.0069444</c:v>
                </c:pt>
                <c:pt idx="2">
                  <c:v>0.006993</c:v>
                </c:pt>
                <c:pt idx="3">
                  <c:v>0.0072993</c:v>
                </c:pt>
                <c:pt idx="4">
                  <c:v>0.0076336</c:v>
                </c:pt>
                <c:pt idx="5">
                  <c:v>0.0079365</c:v>
                </c:pt>
                <c:pt idx="6">
                  <c:v>0.0083333</c:v>
                </c:pt>
                <c:pt idx="7">
                  <c:v>0.034188</c:v>
                </c:pt>
                <c:pt idx="8">
                  <c:v>0.042735</c:v>
                </c:pt>
                <c:pt idx="9">
                  <c:v>0.0608696</c:v>
                </c:pt>
                <c:pt idx="10">
                  <c:v>0.0825688</c:v>
                </c:pt>
                <c:pt idx="11">
                  <c:v>0.1067961</c:v>
                </c:pt>
                <c:pt idx="12">
                  <c:v>0.2244898</c:v>
                </c:pt>
                <c:pt idx="13">
                  <c:v>0.2333333</c:v>
                </c:pt>
                <c:pt idx="14">
                  <c:v>0.2528736</c:v>
                </c:pt>
                <c:pt idx="15">
                  <c:v>0.2682927</c:v>
                </c:pt>
                <c:pt idx="16">
                  <c:v>0.325</c:v>
                </c:pt>
              </c:numCache>
            </c:numRef>
          </c:val>
          <c:smooth val="0"/>
        </c:ser>
        <c:dLbls>
          <c:showLegendKey val="0"/>
          <c:showVal val="0"/>
          <c:showCatName val="0"/>
          <c:showSerName val="0"/>
          <c:showPercent val="0"/>
          <c:showBubbleSize val="0"/>
        </c:dLbls>
        <c:marker val="1"/>
        <c:smooth val="0"/>
        <c:axId val="-1991622632"/>
        <c:axId val="-1973370408"/>
      </c:lineChart>
      <c:catAx>
        <c:axId val="-1991622632"/>
        <c:scaling>
          <c:orientation val="minMax"/>
        </c:scaling>
        <c:delete val="0"/>
        <c:axPos val="b"/>
        <c:numFmt formatCode="General" sourceLinked="1"/>
        <c:majorTickMark val="out"/>
        <c:minorTickMark val="none"/>
        <c:tickLblPos val="nextTo"/>
        <c:txPr>
          <a:bodyPr rot="-1500000"/>
          <a:lstStyle/>
          <a:p>
            <a:pPr>
              <a:defRPr baseline="0">
                <a:latin typeface="Times New Roman"/>
              </a:defRPr>
            </a:pPr>
            <a:endParaRPr lang="en-US"/>
          </a:p>
        </c:txPr>
        <c:crossAx val="-1973370408"/>
        <c:crosses val="autoZero"/>
        <c:auto val="1"/>
        <c:lblAlgn val="ctr"/>
        <c:lblOffset val="100"/>
        <c:noMultiLvlLbl val="0"/>
      </c:catAx>
      <c:valAx>
        <c:axId val="-1973370408"/>
        <c:scaling>
          <c:orientation val="minMax"/>
        </c:scaling>
        <c:delete val="0"/>
        <c:axPos val="l"/>
        <c:title>
          <c:tx>
            <c:rich>
              <a:bodyPr rot="-5400000" vert="horz"/>
              <a:lstStyle/>
              <a:p>
                <a:pPr>
                  <a:defRPr>
                    <a:latin typeface="Times New Roman"/>
                  </a:defRPr>
                </a:pPr>
                <a:r>
                  <a:rPr lang="en-US" b="0">
                    <a:latin typeface="Times New Roman"/>
                  </a:rPr>
                  <a:t>Percentage</a:t>
                </a:r>
                <a:r>
                  <a:rPr lang="en-US" b="0" baseline="0">
                    <a:latin typeface="Times New Roman"/>
                  </a:rPr>
                  <a:t> of Banks wtih a CRO</a:t>
                </a:r>
                <a:endParaRPr lang="en-US" b="0">
                  <a:latin typeface="Times New Roman"/>
                </a:endParaRPr>
              </a:p>
            </c:rich>
          </c:tx>
          <c:layout/>
          <c:overlay val="0"/>
        </c:title>
        <c:numFmt formatCode="0%" sourceLinked="0"/>
        <c:majorTickMark val="out"/>
        <c:minorTickMark val="none"/>
        <c:tickLblPos val="nextTo"/>
        <c:txPr>
          <a:bodyPr/>
          <a:lstStyle/>
          <a:p>
            <a:pPr>
              <a:defRPr>
                <a:solidFill>
                  <a:schemeClr val="tx1"/>
                </a:solidFill>
                <a:latin typeface="Times New Roman"/>
              </a:defRPr>
            </a:pPr>
            <a:endParaRPr lang="en-US"/>
          </a:p>
        </c:txPr>
        <c:crossAx val="-199162263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474896283126"/>
          <c:y val="0.0308988764044944"/>
          <c:w val="0.748347463258394"/>
          <c:h val="0.742206272670972"/>
        </c:manualLayout>
      </c:layout>
      <c:lineChart>
        <c:grouping val="standard"/>
        <c:varyColors val="0"/>
        <c:ser>
          <c:idx val="0"/>
          <c:order val="0"/>
          <c:tx>
            <c:strRef>
              <c:f>'Plot(derivatives)'!$B$2</c:f>
              <c:strCache>
                <c:ptCount val="1"/>
                <c:pt idx="0">
                  <c:v>Futures</c:v>
                </c:pt>
              </c:strCache>
            </c:strRef>
          </c:tx>
          <c:spPr>
            <a:ln w="22225">
              <a:solidFill>
                <a:schemeClr val="tx1"/>
              </a:solidFill>
              <a:prstDash val="dashDot"/>
            </a:ln>
          </c:spPr>
          <c:marker>
            <c:symbol val="none"/>
          </c:marker>
          <c:dPt>
            <c:idx val="0"/>
            <c:bubble3D val="0"/>
            <c:spPr>
              <a:ln w="22225" cap="sq">
                <a:solidFill>
                  <a:schemeClr val="tx1"/>
                </a:solidFill>
                <a:prstDash val="dashDot"/>
                <a:bevel/>
              </a:ln>
            </c:spPr>
          </c:dPt>
          <c:cat>
            <c:numRef>
              <c:f>'Plot(derivatives)'!$A$3:$A$18</c:f>
              <c:numCache>
                <c:formatCode>General</c:formatCode>
                <c:ptCount val="16"/>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numCache>
            </c:numRef>
          </c:cat>
          <c:val>
            <c:numRef>
              <c:f>'Plot(derivatives)'!$B$3:$B$18</c:f>
              <c:numCache>
                <c:formatCode>General</c:formatCode>
                <c:ptCount val="16"/>
                <c:pt idx="0">
                  <c:v>16.1192</c:v>
                </c:pt>
                <c:pt idx="1">
                  <c:v>16.49956</c:v>
                </c:pt>
                <c:pt idx="2">
                  <c:v>22.22319999999998</c:v>
                </c:pt>
                <c:pt idx="3">
                  <c:v>29.0918</c:v>
                </c:pt>
                <c:pt idx="4">
                  <c:v>22.71885</c:v>
                </c:pt>
                <c:pt idx="5">
                  <c:v>28.9669</c:v>
                </c:pt>
                <c:pt idx="6">
                  <c:v>28.19156</c:v>
                </c:pt>
                <c:pt idx="7">
                  <c:v>37.32557</c:v>
                </c:pt>
                <c:pt idx="8">
                  <c:v>39.88792</c:v>
                </c:pt>
                <c:pt idx="9">
                  <c:v>37.14644000000001</c:v>
                </c:pt>
                <c:pt idx="10">
                  <c:v>51.1921</c:v>
                </c:pt>
                <c:pt idx="11">
                  <c:v>39.50244</c:v>
                </c:pt>
                <c:pt idx="12">
                  <c:v>36.39651</c:v>
                </c:pt>
                <c:pt idx="13">
                  <c:v>35.39467</c:v>
                </c:pt>
                <c:pt idx="14">
                  <c:v>41.57295</c:v>
                </c:pt>
                <c:pt idx="15">
                  <c:v>41.07779</c:v>
                </c:pt>
              </c:numCache>
            </c:numRef>
          </c:val>
          <c:smooth val="0"/>
        </c:ser>
        <c:ser>
          <c:idx val="1"/>
          <c:order val="1"/>
          <c:tx>
            <c:strRef>
              <c:f>'Plot(derivatives)'!$C$2</c:f>
              <c:strCache>
                <c:ptCount val="1"/>
                <c:pt idx="0">
                  <c:v>Forward</c:v>
                </c:pt>
              </c:strCache>
            </c:strRef>
          </c:tx>
          <c:spPr>
            <a:ln w="25400">
              <a:solidFill>
                <a:schemeClr val="tx1"/>
              </a:solidFill>
              <a:prstDash val="sysDash"/>
            </a:ln>
          </c:spPr>
          <c:marker>
            <c:symbol val="none"/>
          </c:marker>
          <c:cat>
            <c:numRef>
              <c:f>'Plot(derivatives)'!$A$3:$A$18</c:f>
              <c:numCache>
                <c:formatCode>General</c:formatCode>
                <c:ptCount val="16"/>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numCache>
            </c:numRef>
          </c:cat>
          <c:val>
            <c:numRef>
              <c:f>'Plot(derivatives)'!$C$3:$C$18</c:f>
              <c:numCache>
                <c:formatCode>General</c:formatCode>
                <c:ptCount val="16"/>
                <c:pt idx="0">
                  <c:v>64.74451</c:v>
                </c:pt>
                <c:pt idx="1">
                  <c:v>70.89505</c:v>
                </c:pt>
                <c:pt idx="2">
                  <c:v>86.93932</c:v>
                </c:pt>
                <c:pt idx="3">
                  <c:v>75.59606</c:v>
                </c:pt>
                <c:pt idx="4">
                  <c:v>71.72288999999998</c:v>
                </c:pt>
                <c:pt idx="5">
                  <c:v>81.54755</c:v>
                </c:pt>
                <c:pt idx="6">
                  <c:v>64.84373999999998</c:v>
                </c:pt>
                <c:pt idx="7">
                  <c:v>77.2654</c:v>
                </c:pt>
                <c:pt idx="8">
                  <c:v>65.30147</c:v>
                </c:pt>
                <c:pt idx="9">
                  <c:v>70.2062</c:v>
                </c:pt>
                <c:pt idx="10">
                  <c:v>74.44169</c:v>
                </c:pt>
                <c:pt idx="11">
                  <c:v>86.99554</c:v>
                </c:pt>
                <c:pt idx="12">
                  <c:v>121.7469</c:v>
                </c:pt>
                <c:pt idx="13">
                  <c:v>162.595</c:v>
                </c:pt>
                <c:pt idx="14">
                  <c:v>212.9862</c:v>
                </c:pt>
                <c:pt idx="15">
                  <c:v>264.2945</c:v>
                </c:pt>
              </c:numCache>
            </c:numRef>
          </c:val>
          <c:smooth val="0"/>
        </c:ser>
        <c:ser>
          <c:idx val="2"/>
          <c:order val="2"/>
          <c:tx>
            <c:strRef>
              <c:f>'Plot(derivatives)'!$D$2</c:f>
              <c:strCache>
                <c:ptCount val="1"/>
                <c:pt idx="0">
                  <c:v>EX Option</c:v>
                </c:pt>
              </c:strCache>
            </c:strRef>
          </c:tx>
          <c:spPr>
            <a:ln w="22225">
              <a:solidFill>
                <a:schemeClr val="tx1"/>
              </a:solidFill>
              <a:prstDash val="solid"/>
            </a:ln>
          </c:spPr>
          <c:marker>
            <c:symbol val="none"/>
          </c:marker>
          <c:cat>
            <c:numRef>
              <c:f>'Plot(derivatives)'!$A$3:$A$18</c:f>
              <c:numCache>
                <c:formatCode>General</c:formatCode>
                <c:ptCount val="16"/>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numCache>
            </c:numRef>
          </c:cat>
          <c:val>
            <c:numRef>
              <c:f>'Plot(derivatives)'!$D$3:$D$18</c:f>
              <c:numCache>
                <c:formatCode>General</c:formatCode>
                <c:ptCount val="16"/>
                <c:pt idx="0">
                  <c:v>10.44559</c:v>
                </c:pt>
                <c:pt idx="1">
                  <c:v>10.97427</c:v>
                </c:pt>
                <c:pt idx="2">
                  <c:v>12.37323</c:v>
                </c:pt>
                <c:pt idx="3">
                  <c:v>19.2318</c:v>
                </c:pt>
                <c:pt idx="4">
                  <c:v>16.56999</c:v>
                </c:pt>
                <c:pt idx="5">
                  <c:v>23.81919</c:v>
                </c:pt>
                <c:pt idx="6">
                  <c:v>36.86326</c:v>
                </c:pt>
                <c:pt idx="7">
                  <c:v>34.21111</c:v>
                </c:pt>
                <c:pt idx="8">
                  <c:v>34.16025</c:v>
                </c:pt>
                <c:pt idx="9">
                  <c:v>34.40651</c:v>
                </c:pt>
                <c:pt idx="10">
                  <c:v>39.25432</c:v>
                </c:pt>
                <c:pt idx="11">
                  <c:v>64.41368</c:v>
                </c:pt>
                <c:pt idx="12">
                  <c:v>38.42508</c:v>
                </c:pt>
                <c:pt idx="13">
                  <c:v>27.96519999999988</c:v>
                </c:pt>
                <c:pt idx="14">
                  <c:v>33.50309</c:v>
                </c:pt>
                <c:pt idx="15">
                  <c:v>27.62047</c:v>
                </c:pt>
              </c:numCache>
            </c:numRef>
          </c:val>
          <c:smooth val="0"/>
        </c:ser>
        <c:ser>
          <c:idx val="3"/>
          <c:order val="3"/>
          <c:tx>
            <c:strRef>
              <c:f>'Plot(derivatives)'!$E$2</c:f>
              <c:strCache>
                <c:ptCount val="1"/>
                <c:pt idx="0">
                  <c:v>OTC Option</c:v>
                </c:pt>
              </c:strCache>
            </c:strRef>
          </c:tx>
          <c:spPr>
            <a:ln w="25400">
              <a:solidFill>
                <a:schemeClr val="tx1"/>
              </a:solidFill>
              <a:prstDash val="sysDot"/>
            </a:ln>
          </c:spPr>
          <c:marker>
            <c:symbol val="none"/>
          </c:marker>
          <c:cat>
            <c:numRef>
              <c:f>'Plot(derivatives)'!$A$3:$A$18</c:f>
              <c:numCache>
                <c:formatCode>General</c:formatCode>
                <c:ptCount val="16"/>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numCache>
            </c:numRef>
          </c:cat>
          <c:val>
            <c:numRef>
              <c:f>'Plot(derivatives)'!$E$3:$E$18</c:f>
              <c:numCache>
                <c:formatCode>General</c:formatCode>
                <c:ptCount val="16"/>
                <c:pt idx="0">
                  <c:v>27.9111</c:v>
                </c:pt>
                <c:pt idx="1">
                  <c:v>36.28005</c:v>
                </c:pt>
                <c:pt idx="2">
                  <c:v>53.03183</c:v>
                </c:pt>
                <c:pt idx="3">
                  <c:v>62.2648</c:v>
                </c:pt>
                <c:pt idx="4">
                  <c:v>69.18162</c:v>
                </c:pt>
                <c:pt idx="5">
                  <c:v>81.17762</c:v>
                </c:pt>
                <c:pt idx="6">
                  <c:v>79.12967999999998</c:v>
                </c:pt>
                <c:pt idx="7">
                  <c:v>88.55428</c:v>
                </c:pt>
                <c:pt idx="8">
                  <c:v>106.5896</c:v>
                </c:pt>
                <c:pt idx="9">
                  <c:v>139.1264</c:v>
                </c:pt>
                <c:pt idx="10">
                  <c:v>160.1162</c:v>
                </c:pt>
                <c:pt idx="11">
                  <c:v>166.5097</c:v>
                </c:pt>
                <c:pt idx="12">
                  <c:v>192.45</c:v>
                </c:pt>
                <c:pt idx="13">
                  <c:v>185.086</c:v>
                </c:pt>
                <c:pt idx="14">
                  <c:v>181.2574</c:v>
                </c:pt>
                <c:pt idx="15">
                  <c:v>168.9107</c:v>
                </c:pt>
              </c:numCache>
            </c:numRef>
          </c:val>
          <c:smooth val="0"/>
        </c:ser>
        <c:ser>
          <c:idx val="5"/>
          <c:order val="5"/>
          <c:tx>
            <c:strRef>
              <c:f>'Plot(derivatives)'!$G$2</c:f>
              <c:strCache>
                <c:ptCount val="1"/>
                <c:pt idx="0">
                  <c:v>Credit Dev.</c:v>
                </c:pt>
              </c:strCache>
            </c:strRef>
          </c:tx>
          <c:spPr>
            <a:ln w="25400">
              <a:solidFill>
                <a:schemeClr val="tx1"/>
              </a:solidFill>
              <a:prstDash val="lgDashDot"/>
            </a:ln>
          </c:spPr>
          <c:marker>
            <c:symbol val="none"/>
          </c:marker>
          <c:cat>
            <c:numRef>
              <c:f>'Plot(derivatives)'!$A$3:$A$18</c:f>
              <c:numCache>
                <c:formatCode>General</c:formatCode>
                <c:ptCount val="16"/>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numCache>
            </c:numRef>
          </c:cat>
          <c:val>
            <c:numRef>
              <c:f>'Plot(derivatives)'!$G$3:$G$18</c:f>
              <c:numCache>
                <c:formatCode>General</c:formatCode>
                <c:ptCount val="16"/>
                <c:pt idx="2">
                  <c:v>0.6342659</c:v>
                </c:pt>
                <c:pt idx="3">
                  <c:v>1.399493</c:v>
                </c:pt>
                <c:pt idx="4">
                  <c:v>3.139209</c:v>
                </c:pt>
                <c:pt idx="5">
                  <c:v>5.082593</c:v>
                </c:pt>
                <c:pt idx="6">
                  <c:v>4.558229</c:v>
                </c:pt>
                <c:pt idx="7">
                  <c:v>6.257196</c:v>
                </c:pt>
                <c:pt idx="8">
                  <c:v>9.252798</c:v>
                </c:pt>
                <c:pt idx="9">
                  <c:v>21.77736000000001</c:v>
                </c:pt>
                <c:pt idx="10">
                  <c:v>63.39732</c:v>
                </c:pt>
                <c:pt idx="11">
                  <c:v>75.07386999999998</c:v>
                </c:pt>
                <c:pt idx="12">
                  <c:v>128.2169</c:v>
                </c:pt>
                <c:pt idx="13">
                  <c:v>125.2385</c:v>
                </c:pt>
                <c:pt idx="14">
                  <c:v>127.7695</c:v>
                </c:pt>
                <c:pt idx="15">
                  <c:v>130.0806</c:v>
                </c:pt>
              </c:numCache>
            </c:numRef>
          </c:val>
          <c:smooth val="0"/>
        </c:ser>
        <c:dLbls>
          <c:showLegendKey val="0"/>
          <c:showVal val="0"/>
          <c:showCatName val="0"/>
          <c:showSerName val="0"/>
          <c:showPercent val="0"/>
          <c:showBubbleSize val="0"/>
        </c:dLbls>
        <c:marker val="1"/>
        <c:smooth val="0"/>
        <c:axId val="-2095254216"/>
        <c:axId val="-1992245112"/>
      </c:lineChart>
      <c:lineChart>
        <c:grouping val="standard"/>
        <c:varyColors val="0"/>
        <c:ser>
          <c:idx val="4"/>
          <c:order val="4"/>
          <c:tx>
            <c:strRef>
              <c:f>'Plot(derivatives)'!$F$2</c:f>
              <c:strCache>
                <c:ptCount val="1"/>
                <c:pt idx="0">
                  <c:v>Swap</c:v>
                </c:pt>
              </c:strCache>
            </c:strRef>
          </c:tx>
          <c:spPr>
            <a:ln w="38100">
              <a:solidFill>
                <a:schemeClr val="tx1"/>
              </a:solidFill>
              <a:prstDash val="solid"/>
            </a:ln>
          </c:spPr>
          <c:marker>
            <c:symbol val="none"/>
          </c:marker>
          <c:cat>
            <c:numRef>
              <c:f>'Plot(derivatives)'!$A$3:$A$18</c:f>
              <c:numCache>
                <c:formatCode>General</c:formatCode>
                <c:ptCount val="16"/>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numCache>
            </c:numRef>
          </c:cat>
          <c:val>
            <c:numRef>
              <c:f>'Plot(derivatives)'!$F$3:$F$18</c:f>
              <c:numCache>
                <c:formatCode>General</c:formatCode>
                <c:ptCount val="16"/>
                <c:pt idx="0">
                  <c:v>67.21881</c:v>
                </c:pt>
                <c:pt idx="1">
                  <c:v>83.21864</c:v>
                </c:pt>
                <c:pt idx="2">
                  <c:v>111.6464</c:v>
                </c:pt>
                <c:pt idx="3">
                  <c:v>157.9625</c:v>
                </c:pt>
                <c:pt idx="4">
                  <c:v>211.6046</c:v>
                </c:pt>
                <c:pt idx="5">
                  <c:v>279.5692</c:v>
                </c:pt>
                <c:pt idx="6">
                  <c:v>297.6563</c:v>
                </c:pt>
                <c:pt idx="7">
                  <c:v>341.2612999999996</c:v>
                </c:pt>
                <c:pt idx="8">
                  <c:v>423.3396</c:v>
                </c:pt>
                <c:pt idx="9">
                  <c:v>564.1258</c:v>
                </c:pt>
                <c:pt idx="10">
                  <c:v>680.2484</c:v>
                </c:pt>
                <c:pt idx="11">
                  <c:v>732.0550999999994</c:v>
                </c:pt>
                <c:pt idx="12">
                  <c:v>919.3610999999903</c:v>
                </c:pt>
                <c:pt idx="13">
                  <c:v>1029.416</c:v>
                </c:pt>
                <c:pt idx="14">
                  <c:v>1044.245</c:v>
                </c:pt>
                <c:pt idx="15">
                  <c:v>1055.544</c:v>
                </c:pt>
              </c:numCache>
            </c:numRef>
          </c:val>
          <c:smooth val="0"/>
        </c:ser>
        <c:dLbls>
          <c:showLegendKey val="0"/>
          <c:showVal val="0"/>
          <c:showCatName val="0"/>
          <c:showSerName val="0"/>
          <c:showPercent val="0"/>
          <c:showBubbleSize val="0"/>
        </c:dLbls>
        <c:marker val="1"/>
        <c:smooth val="0"/>
        <c:axId val="-2093165752"/>
        <c:axId val="-1991579048"/>
      </c:lineChart>
      <c:catAx>
        <c:axId val="-2095254216"/>
        <c:scaling>
          <c:orientation val="minMax"/>
        </c:scaling>
        <c:delete val="0"/>
        <c:axPos val="b"/>
        <c:numFmt formatCode="General" sourceLinked="1"/>
        <c:majorTickMark val="out"/>
        <c:minorTickMark val="none"/>
        <c:tickLblPos val="nextTo"/>
        <c:txPr>
          <a:bodyPr rot="-1500000"/>
          <a:lstStyle/>
          <a:p>
            <a:pPr>
              <a:defRPr>
                <a:latin typeface="Times New Roman"/>
              </a:defRPr>
            </a:pPr>
            <a:endParaRPr lang="en-US"/>
          </a:p>
        </c:txPr>
        <c:crossAx val="-1992245112"/>
        <c:crosses val="autoZero"/>
        <c:auto val="1"/>
        <c:lblAlgn val="ctr"/>
        <c:lblOffset val="100"/>
        <c:noMultiLvlLbl val="0"/>
      </c:catAx>
      <c:valAx>
        <c:axId val="-1992245112"/>
        <c:scaling>
          <c:orientation val="minMax"/>
        </c:scaling>
        <c:delete val="0"/>
        <c:axPos val="l"/>
        <c:title>
          <c:tx>
            <c:rich>
              <a:bodyPr rot="-5400000" vert="horz"/>
              <a:lstStyle/>
              <a:p>
                <a:pPr>
                  <a:defRPr b="0">
                    <a:latin typeface="Times New Roman"/>
                  </a:defRPr>
                </a:pPr>
                <a:r>
                  <a:rPr lang="en-US" b="0">
                    <a:latin typeface="Times New Roman"/>
                  </a:rPr>
                  <a:t>Millions</a:t>
                </a:r>
                <a:r>
                  <a:rPr lang="en-US" b="0" baseline="0">
                    <a:latin typeface="Times New Roman"/>
                  </a:rPr>
                  <a:t> of Dollars, Futures to Credit Derivatives</a:t>
                </a:r>
                <a:endParaRPr lang="en-US" b="0">
                  <a:latin typeface="Times New Roman"/>
                </a:endParaRPr>
              </a:p>
            </c:rich>
          </c:tx>
          <c:layout/>
          <c:overlay val="0"/>
        </c:title>
        <c:numFmt formatCode="#,##0" sourceLinked="0"/>
        <c:majorTickMark val="out"/>
        <c:minorTickMark val="none"/>
        <c:tickLblPos val="nextTo"/>
        <c:txPr>
          <a:bodyPr/>
          <a:lstStyle/>
          <a:p>
            <a:pPr>
              <a:defRPr sz="1000">
                <a:latin typeface="Times New Roman"/>
              </a:defRPr>
            </a:pPr>
            <a:endParaRPr lang="en-US"/>
          </a:p>
        </c:txPr>
        <c:crossAx val="-2095254216"/>
        <c:crosses val="autoZero"/>
        <c:crossBetween val="between"/>
      </c:valAx>
      <c:valAx>
        <c:axId val="-1991579048"/>
        <c:scaling>
          <c:orientation val="minMax"/>
        </c:scaling>
        <c:delete val="0"/>
        <c:axPos val="r"/>
        <c:title>
          <c:tx>
            <c:rich>
              <a:bodyPr rot="-5400000" vert="horz" lIns="2">
                <a:spAutoFit/>
              </a:bodyPr>
              <a:lstStyle/>
              <a:p>
                <a:pPr>
                  <a:defRPr>
                    <a:latin typeface="Times New Roman"/>
                  </a:defRPr>
                </a:pPr>
                <a:r>
                  <a:rPr lang="en-US" b="0">
                    <a:latin typeface="Times New Roman"/>
                  </a:rPr>
                  <a:t>Millions</a:t>
                </a:r>
                <a:r>
                  <a:rPr lang="en-US" b="0" baseline="0">
                    <a:latin typeface="Times New Roman"/>
                  </a:rPr>
                  <a:t> of Dollars, Swaps</a:t>
                </a:r>
                <a:endParaRPr lang="en-US" b="0">
                  <a:latin typeface="Times New Roman"/>
                </a:endParaRPr>
              </a:p>
            </c:rich>
          </c:tx>
          <c:layout>
            <c:manualLayout>
              <c:xMode val="edge"/>
              <c:yMode val="edge"/>
              <c:x val="0.957730698123935"/>
              <c:y val="0.251309608068654"/>
            </c:manualLayout>
          </c:layout>
          <c:overlay val="0"/>
        </c:title>
        <c:numFmt formatCode="General" sourceLinked="1"/>
        <c:majorTickMark val="out"/>
        <c:minorTickMark val="none"/>
        <c:tickLblPos val="nextTo"/>
        <c:crossAx val="-2093165752"/>
        <c:crosses val="max"/>
        <c:crossBetween val="between"/>
      </c:valAx>
      <c:catAx>
        <c:axId val="-2093165752"/>
        <c:scaling>
          <c:orientation val="minMax"/>
        </c:scaling>
        <c:delete val="1"/>
        <c:axPos val="b"/>
        <c:numFmt formatCode="General" sourceLinked="1"/>
        <c:majorTickMark val="out"/>
        <c:minorTickMark val="none"/>
        <c:tickLblPos val="nextTo"/>
        <c:crossAx val="-1991579048"/>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CCAC9-A9B2-DD4B-9C41-3E907E9A2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52</Pages>
  <Words>11722</Words>
  <Characters>66816</Characters>
  <Application>Microsoft Macintosh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78382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Pernell</dc:creator>
  <cp:keywords/>
  <dc:description/>
  <cp:lastModifiedBy>Frank Dobbin</cp:lastModifiedBy>
  <cp:revision>3</cp:revision>
  <dcterms:created xsi:type="dcterms:W3CDTF">2016-10-03T13:59:00Z</dcterms:created>
  <dcterms:modified xsi:type="dcterms:W3CDTF">2016-10-03T14:02:00Z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